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50" w:rsidRDefault="00540EA6">
      <w:pPr>
        <w:pStyle w:val="Titre"/>
        <w:spacing w:after="0" w:line="276" w:lineRule="auto"/>
        <w:jc w:val="center"/>
      </w:pPr>
      <w:r>
        <w:t>Acid-induced gel properties of an alginate-in-whey protein emulsion</w:t>
      </w:r>
    </w:p>
    <w:p w:rsidR="009F0550" w:rsidRDefault="009F0550"/>
    <w:p w:rsidR="009F0550" w:rsidRDefault="00540EA6">
      <w:pPr>
        <w:pStyle w:val="Authors"/>
        <w:spacing w:after="0" w:line="276" w:lineRule="auto"/>
        <w:jc w:val="center"/>
        <w:rPr>
          <w:vertAlign w:val="superscript"/>
          <w:lang w:val="fr-FR"/>
        </w:rPr>
      </w:pPr>
      <w:r>
        <w:rPr>
          <w:u w:val="single"/>
          <w:lang w:val="fr-FR"/>
        </w:rPr>
        <w:t>Ashkan Madadlou</w:t>
      </w:r>
      <w:r>
        <w:rPr>
          <w:vertAlign w:val="superscript"/>
          <w:lang w:val="fr-FR"/>
        </w:rPr>
        <w:t>1</w:t>
      </w:r>
      <w:r>
        <w:rPr>
          <w:lang w:val="fr-FR"/>
        </w:rPr>
        <w:t>, Arnaud Saint-Jalmes</w:t>
      </w:r>
      <w:r>
        <w:rPr>
          <w:vertAlign w:val="superscript"/>
          <w:lang w:val="fr-FR"/>
        </w:rPr>
        <w:t>2</w:t>
      </w:r>
      <w:r>
        <w:rPr>
          <w:lang w:val="fr-FR"/>
        </w:rPr>
        <w:t>, Stéphane Pezennec</w:t>
      </w:r>
      <w:r>
        <w:rPr>
          <w:vertAlign w:val="superscript"/>
          <w:lang w:val="fr-FR"/>
        </w:rPr>
        <w:t>1</w:t>
      </w:r>
      <w:r>
        <w:rPr>
          <w:lang w:val="fr-FR"/>
        </w:rPr>
        <w:t xml:space="preserve">, </w:t>
      </w:r>
      <w:proofErr w:type="spellStart"/>
      <w:r>
        <w:rPr>
          <w:lang w:val="fr-FR"/>
        </w:rPr>
        <w:t>Marie-Helene</w:t>
      </w:r>
      <w:proofErr w:type="spellEnd"/>
      <w:r>
        <w:rPr>
          <w:lang w:val="fr-FR"/>
        </w:rPr>
        <w:t xml:space="preserve"> Famelart</w:t>
      </w:r>
      <w:r>
        <w:rPr>
          <w:vertAlign w:val="superscript"/>
          <w:lang w:val="fr-FR"/>
        </w:rPr>
        <w:t>1</w:t>
      </w:r>
      <w:r>
        <w:rPr>
          <w:lang w:val="fr-FR"/>
        </w:rPr>
        <w:t>, Florence Rousseau</w:t>
      </w:r>
      <w:r>
        <w:rPr>
          <w:vertAlign w:val="superscript"/>
          <w:lang w:val="fr-FR"/>
        </w:rPr>
        <w:t>1,</w:t>
      </w:r>
      <w:r>
        <w:rPr>
          <w:lang w:val="fr-FR"/>
        </w:rPr>
        <w:t xml:space="preserve"> Juliane Floury</w:t>
      </w:r>
      <w:r>
        <w:rPr>
          <w:vertAlign w:val="superscript"/>
          <w:lang w:val="fr-FR"/>
        </w:rPr>
        <w:t>1</w:t>
      </w:r>
      <w:r>
        <w:rPr>
          <w:lang w:val="fr-FR"/>
        </w:rPr>
        <w:t>, Didier Dupont</w:t>
      </w:r>
      <w:r>
        <w:rPr>
          <w:vertAlign w:val="superscript"/>
          <w:lang w:val="fr-FR"/>
        </w:rPr>
        <w:t>1</w:t>
      </w:r>
    </w:p>
    <w:p w:rsidR="009F0550" w:rsidRDefault="009F0550">
      <w:pPr>
        <w:pStyle w:val="Affiliation"/>
        <w:rPr>
          <w:i w:val="0"/>
          <w:sz w:val="24"/>
          <w:lang w:val="fr-FR"/>
        </w:rPr>
      </w:pPr>
    </w:p>
    <w:p w:rsidR="009F0550" w:rsidRDefault="009F0550">
      <w:pPr>
        <w:pStyle w:val="Affiliation"/>
        <w:rPr>
          <w:b/>
          <w:bCs/>
          <w:i w:val="0"/>
          <w:iCs/>
          <w:lang w:val="fr-FR"/>
        </w:rPr>
      </w:pPr>
    </w:p>
    <w:p w:rsidR="009F0550" w:rsidRDefault="00540EA6">
      <w:pPr>
        <w:jc w:val="center"/>
        <w:rPr>
          <w:rFonts w:cs="Arial"/>
          <w:b/>
          <w:i/>
          <w:iCs/>
          <w:highlight w:val="white"/>
          <w:lang w:val="fr-FR"/>
        </w:rPr>
      </w:pPr>
      <w:r>
        <w:rPr>
          <w:rFonts w:cs="Arial"/>
          <w:b/>
          <w:i/>
          <w:iCs/>
          <w:shd w:val="clear" w:color="auto" w:fill="FFFFFF"/>
          <w:vertAlign w:val="superscript"/>
          <w:lang w:val="fr-FR"/>
        </w:rPr>
        <w:t xml:space="preserve">1 </w:t>
      </w:r>
      <w:r>
        <w:rPr>
          <w:rFonts w:cs="Arial"/>
          <w:b/>
          <w:i/>
          <w:iCs/>
          <w:shd w:val="clear" w:color="auto" w:fill="FFFFFF"/>
          <w:lang w:val="fr-FR"/>
        </w:rPr>
        <w:t xml:space="preserve">STLO, UMR 1253, INRA, </w:t>
      </w:r>
      <w:proofErr w:type="spellStart"/>
      <w:r>
        <w:rPr>
          <w:rFonts w:cs="Arial"/>
          <w:b/>
          <w:i/>
          <w:iCs/>
          <w:shd w:val="clear" w:color="auto" w:fill="FFFFFF"/>
          <w:lang w:val="fr-FR"/>
        </w:rPr>
        <w:t>Agrocampus</w:t>
      </w:r>
      <w:proofErr w:type="spellEnd"/>
      <w:r>
        <w:rPr>
          <w:rFonts w:cs="Arial"/>
          <w:b/>
          <w:i/>
          <w:iCs/>
          <w:shd w:val="clear" w:color="auto" w:fill="FFFFFF"/>
          <w:lang w:val="fr-FR"/>
        </w:rPr>
        <w:t xml:space="preserve"> Ouest, </w:t>
      </w:r>
      <w:r>
        <w:rPr>
          <w:rFonts w:cs="Arial"/>
          <w:b/>
          <w:i/>
          <w:iCs/>
          <w:shd w:val="clear" w:color="auto" w:fill="FFFFFF"/>
          <w:lang w:val="fr-FR"/>
        </w:rPr>
        <w:t>F-</w:t>
      </w:r>
      <w:r>
        <w:rPr>
          <w:rFonts w:cs="Arial"/>
          <w:b/>
          <w:i/>
          <w:iCs/>
          <w:shd w:val="clear" w:color="auto" w:fill="FFFFFF"/>
          <w:lang w:val="fr-FR"/>
        </w:rPr>
        <w:t>35000 Rennes, France</w:t>
      </w:r>
    </w:p>
    <w:p w:rsidR="009F0550" w:rsidRDefault="00540EA6">
      <w:pPr>
        <w:jc w:val="center"/>
        <w:rPr>
          <w:rFonts w:cs="Arial"/>
          <w:b/>
          <w:sz w:val="28"/>
          <w:lang w:val="fr-FR"/>
        </w:rPr>
      </w:pPr>
      <w:r>
        <w:rPr>
          <w:rFonts w:cs="Arial"/>
          <w:b/>
          <w:i/>
          <w:iCs/>
          <w:szCs w:val="18"/>
          <w:vertAlign w:val="superscript"/>
          <w:lang w:val="fr-FR"/>
        </w:rPr>
        <w:t>2</w:t>
      </w:r>
      <w:r>
        <w:rPr>
          <w:rFonts w:cs="Arial"/>
          <w:b/>
          <w:i/>
          <w:iCs/>
          <w:szCs w:val="18"/>
          <w:lang w:val="fr-FR"/>
        </w:rPr>
        <w:t xml:space="preserve"> </w:t>
      </w:r>
      <w:proofErr w:type="spellStart"/>
      <w:r>
        <w:rPr>
          <w:rFonts w:cs="Arial"/>
          <w:b/>
          <w:i/>
          <w:iCs/>
          <w:szCs w:val="18"/>
          <w:lang w:val="fr-FR"/>
        </w:rPr>
        <w:t>Univ</w:t>
      </w:r>
      <w:proofErr w:type="spellEnd"/>
      <w:r>
        <w:rPr>
          <w:rFonts w:cs="Arial"/>
          <w:b/>
          <w:i/>
          <w:iCs/>
          <w:szCs w:val="18"/>
          <w:lang w:val="fr-FR"/>
        </w:rPr>
        <w:t xml:space="preserve"> Rennes, CNRS, IPR (Institut de Physique de Rennes) - UMR 6251, F-35000 Rennes, France</w:t>
      </w:r>
    </w:p>
    <w:p w:rsidR="009F0550" w:rsidRDefault="009F0550">
      <w:pPr>
        <w:jc w:val="center"/>
        <w:rPr>
          <w:rFonts w:cs="Arial"/>
          <w:b/>
          <w:sz w:val="28"/>
          <w:lang w:val="fr-FR"/>
        </w:rPr>
      </w:pPr>
    </w:p>
    <w:p w:rsidR="009F0550" w:rsidRDefault="00540EA6">
      <w:pPr>
        <w:pStyle w:val="Affiliation"/>
        <w:spacing w:after="240" w:line="276" w:lineRule="auto"/>
        <w:jc w:val="center"/>
        <w:rPr>
          <w:lang w:val="fr-FR"/>
        </w:rPr>
      </w:pPr>
      <w:r>
        <w:rPr>
          <w:lang w:val="fr-FR"/>
        </w:rPr>
        <w:t xml:space="preserve">E-mail contact: </w:t>
      </w:r>
      <w:r>
        <w:rPr>
          <w:b/>
          <w:i w:val="0"/>
          <w:lang w:val="fr-FR"/>
        </w:rPr>
        <w:t>didier.dupont@inra.fr</w:t>
      </w:r>
    </w:p>
    <w:p w:rsidR="009F0550" w:rsidRDefault="00540EA6">
      <w:pPr>
        <w:spacing w:after="0"/>
      </w:pPr>
      <w:r>
        <w:t xml:space="preserve">Water-in-water (W/W) or </w:t>
      </w:r>
      <w:r>
        <w:rPr>
          <w:rStyle w:val="Accentuation"/>
          <w:rFonts w:cs="Arial"/>
          <w:i w:val="0"/>
        </w:rPr>
        <w:t>aqueous two</w:t>
      </w:r>
      <w:r>
        <w:rPr>
          <w:rStyle w:val="st"/>
          <w:rFonts w:cs="Arial"/>
          <w:i/>
        </w:rPr>
        <w:t>-</w:t>
      </w:r>
      <w:r>
        <w:rPr>
          <w:rStyle w:val="Accentuation"/>
          <w:rFonts w:cs="Arial"/>
          <w:i w:val="0"/>
        </w:rPr>
        <w:t>phase system (ATPS) emulsions are finding</w:t>
      </w:r>
      <w:r>
        <w:rPr>
          <w:rStyle w:val="Accentuation"/>
          <w:rFonts w:cs="Arial"/>
          <w:i w:val="0"/>
        </w:rPr>
        <w:t xml:space="preserve"> increasing applications in diverse fields of technology, </w:t>
      </w:r>
      <w:r>
        <w:rPr>
          <w:rStyle w:val="Accentuation"/>
          <w:rFonts w:cs="Arial"/>
          <w:i w:val="0"/>
          <w:lang w:val="fr-FR"/>
        </w:rPr>
        <w:t>for instance</w:t>
      </w:r>
      <w:r>
        <w:rPr>
          <w:rStyle w:val="Accentuation"/>
          <w:rFonts w:cs="Arial"/>
          <w:i w:val="0"/>
        </w:rPr>
        <w:t xml:space="preserve"> as protocells </w:t>
      </w:r>
      <w:r>
        <w:fldChar w:fldCharType="begin"/>
      </w:r>
      <w:r>
        <w:instrText>ADDIN CSL_CITATION {"citationItems":[{"id":"ITEM-1","itemData":{"DOI":"10.1038/ncomms5670","ISBN":"2041-1723 (Electronic)\\r2041-1723 (Linking)","ISSN":"20411723","PMID":"</w:instrText>
      </w:r>
      <w:r>
        <w:instrText>25140538","abstract":"Artificial bioreactors are desirable for in vitro biochemical studies and as protocells. A key challenge is maintaining a favourable internal environment while allowing substrate entry and product departure. We show that semipermeable</w:instrText>
      </w:r>
      <w:r>
        <w:instrText xml:space="preserve">, size-controlled bioreactors with aqueous, macromolecularly crowded interiors can be assembled by liposome stabilization of an all-aqueous emulsion. Dextran-rich aqueous droplets are dispersed in a continuous polyethylene glycol (PEG)-rich aqueous phase, </w:instrText>
      </w:r>
      <w:r>
        <w:instrText>with coalescence inhibited by adsorbed ~130-nm diameter liposomes. Fluorescence recovery after photobleaching and dynamic light scattering data indicate that the liposomes, which are PEGylated and negatively charged, remain intact at the interface for exte</w:instrText>
      </w:r>
      <w:r>
        <w:instrText xml:space="preserve">nded time. Inter-droplet repulsion provides electrostatic stabilization of the emulsion, with droplet coalescence prevented even for submonolayer interfacial coatings. RNA and DNA can enter and exit aqueous droplets by diffusion, with final concentrations </w:instrText>
      </w:r>
      <w:r>
        <w:instrText>dictated by partitioning. The capacity to serve as microscale bioreactors is established by demonstrating a ribozyme cleavage reaction within the liposome-coated droplets.","author":[{"dropping-particle":"","family":"Dewey","given":"Daniel C.","non-droppin</w:instrText>
      </w:r>
      <w:r>
        <w:instrText>g-particle":"","parse-names":false,"suffix":""},{"dropping-particle":"","family":"Strulson","given":"Christopher A.","non-dropping-particle":"","parse-names":false,"suffix":""},{"dropping-particle":"","family":"Cacace","given":"David N.","non-dropping-part</w:instrText>
      </w:r>
      <w:r>
        <w:instrText>icle":"","parse-names":false,"suffix":""},{"dropping-particle":"","family":"Bevilacqua","given":"Philip C.","non-dropping-particle":"","parse-names":false,"suffix":""},{"dropping-particle":"","family":"Keating","given":"Christine D.","non-dropping-particle</w:instrText>
      </w:r>
      <w:r>
        <w:instrText>":"","parse-names":false,"suffix":""}],"container-title":"Nature Communications","id":"ITEM-1","issued":{"date-parts":[["2014"]]},"title":"Bioreactor droplets from liposome-stabilized all-aqueous emulsions","type":"article-journal","volume":"5"},"uris":["h</w:instrText>
      </w:r>
      <w:r>
        <w:instrText>ttp://www.mendeley.com/documents/?uuid=0cdf2c76-35b3-4f34-9440-8e16dc069492"]}],"mendeley":{"formattedCitation":"[1]","plainTextFormattedCitation":"[1]","previouslyFormattedCitation":"[1]"},"properties":{"noteIndex":0},"schema":"https://github.com/citation</w:instrText>
      </w:r>
      <w:r>
        <w:instrText>-style-language/schema/raw/master/csl-citation.json"}</w:instrText>
      </w:r>
      <w:r>
        <w:fldChar w:fldCharType="separate"/>
      </w:r>
      <w:bookmarkStart w:id="0" w:name="__Fieldmark__4451_389947765"/>
      <w:r>
        <w:rPr>
          <w:rStyle w:val="Accentuation"/>
          <w:rFonts w:cs="Arial"/>
          <w:i w:val="0"/>
          <w:color w:val="0070C0"/>
        </w:rPr>
        <w:t>[1]</w:t>
      </w:r>
      <w:r>
        <w:fldChar w:fldCharType="end"/>
      </w:r>
      <w:bookmarkEnd w:id="0"/>
      <w:r>
        <w:rPr>
          <w:rStyle w:val="Accentuation"/>
          <w:rFonts w:cs="Arial"/>
          <w:i w:val="0"/>
        </w:rPr>
        <w:t xml:space="preserve">, and reactors for the synthesis of hydrogel particles </w:t>
      </w:r>
      <w:r>
        <w:fldChar w:fldCharType="begin"/>
      </w:r>
      <w:r>
        <w:instrText>ADDIN CSL_CITATION {"citationItems":[{"id":"ITEM-1","itemData":{"DOI":"10.1038/ncomms12934","ISBN":"0363-5023 (Print)\\r0363-5023 (Linking)","</w:instrText>
      </w:r>
      <w:r>
        <w:instrText>ISSN":"20411723","PMID":"27725629","abstract":"All-aqueous emulsions exploit spontaneous liquid-liquid separation and due to their water-based nature are particular advantageous for the biocompatible storage and processing of biomacromolecules. However, th</w:instrText>
      </w:r>
      <w:r>
        <w:instrText>e ultralow interfacial tensions characteristic of all-aqueous interfaces represent an inherent limitation to the use of thermally adsorbed particles to achieve emulsion stability. Here, we use protein nanofibrils to generate colloidosome-like two-dimension</w:instrText>
      </w:r>
      <w:r>
        <w:instrText>al crosslinked networks of nanostructures templated by all-aqueous emulsions, which we term fibrillosomes. We show that this approach not only allows us to operate below the thermal limit at ultra-low surface tensions but also yields structures that are st</w:instrText>
      </w:r>
      <w:r>
        <w:instrText>able even in the complete absence of an interface. Moreover, we show that the growth and multilayer deposition of fibrils allows us to control the thickness of the capsule shells. These results open up the possibility of stabilizing aqueous two-phase syste</w:instrText>
      </w:r>
      <w:r>
        <w:instrText>ms using natural proteins, and creating self-standing protein capsules without the requirement for three-phase emulsions or water/oil interfaces.","author":[{"dropping-particle":"","family":"Song","given":"Yang","non-dropping-particle":"","parse-names":fal</w:instrText>
      </w:r>
      <w:r>
        <w:instrText>se,"suffix":""},{"dropping-particle":"","family":"Shimanovich","given":"Ulyana","non-dropping-particle":"","parse-names":false,"suffix":""},{"dropping-particle":"","family":"Michaels","given":"Thomas C.T.","non-dropping-particle":"","parse-names":false,"su</w:instrText>
      </w:r>
      <w:r>
        <w:instrText>ffix":""},{"dropping-particle":"","family":"Ma","given":"Qingming","non-dropping-particle":"","parse-names":false,"suffix":""},{"dropping-particle":"","family":"Li","given":"Jingmei","non-dropping-particle":"","parse-names":false,"suffix":""},{"dropping-pa</w:instrText>
      </w:r>
      <w:r>
        <w:instrText>rticle":"","family":"Knowles","given":"Tuomas P.J.","non-dropping-particle":"","parse-names":false,"suffix":""},{"dropping-particle":"","family":"Shum","given":"Ho Cheung","non-dropping-particle":"","parse-names":false,"suffix":""}],"container-title":"Natu</w:instrText>
      </w:r>
      <w:r>
        <w:instrText>re Communications","id":"ITEM-1","issued":{"date-parts":[["2016"]]},"title":"Fabrication of fibrillosomes from droplets stabilized by protein nanofibrils at all-aqueous interfaces","type":"article-journal","volume":"7"},"uris":["http://www.mendeley.com/doc</w:instrText>
      </w:r>
      <w:r>
        <w:instrText>uments/?uuid=61e997d3-9a12-410a-8841-8be2ef6b0ff6"]}],"mendeley":{"formattedCitation":"[2]","plainTextFormattedCitation":"[2]","previouslyFormattedCitation":"[2]"},"properties":{"noteIndex":0},"schema":"https://github.com/citation-style-language/schema/raw</w:instrText>
      </w:r>
      <w:r>
        <w:instrText>/master/csl-citation.json"}</w:instrText>
      </w:r>
      <w:r>
        <w:fldChar w:fldCharType="separate"/>
      </w:r>
      <w:bookmarkStart w:id="1" w:name="__Fieldmark__4459_389947765"/>
      <w:r>
        <w:rPr>
          <w:rStyle w:val="Accentuation"/>
          <w:rFonts w:cs="Arial"/>
          <w:i w:val="0"/>
          <w:color w:val="0070C0"/>
        </w:rPr>
        <w:t>[2]</w:t>
      </w:r>
      <w:r>
        <w:fldChar w:fldCharType="end"/>
      </w:r>
      <w:bookmarkEnd w:id="1"/>
      <w:r>
        <w:rPr>
          <w:rStyle w:val="Accentuation"/>
          <w:rFonts w:cs="Arial"/>
          <w:i w:val="0"/>
        </w:rPr>
        <w:t xml:space="preserve">, and enzyme-laden </w:t>
      </w:r>
      <w:proofErr w:type="spellStart"/>
      <w:r>
        <w:rPr>
          <w:rStyle w:val="Accentuation"/>
          <w:rFonts w:cs="Arial"/>
          <w:i w:val="0"/>
        </w:rPr>
        <w:t>microgels</w:t>
      </w:r>
      <w:proofErr w:type="spellEnd"/>
      <w:r>
        <w:rPr>
          <w:rStyle w:val="Accentuation"/>
          <w:rFonts w:cs="Arial"/>
          <w:i w:val="0"/>
        </w:rPr>
        <w:t xml:space="preserve"> </w:t>
      </w:r>
      <w:r>
        <w:fldChar w:fldCharType="begin"/>
      </w:r>
      <w:r>
        <w:instrText>ADDIN CSL_CITATION {"citationItems":[{"id":"ITEM-1","itemData":{"DOI":"10.1021/acs.langmuir.8b01599","ISBN":"0140-6736","ISSN":"15205827","abstract":"Cross-linked gelatin microgels were formed i</w:instrText>
      </w:r>
      <w:r>
        <w:instrText>n gelatin-in-maltodextrin water-in-water (W/W) emulsions and evaluated as carriers of the enzyme β-galactosidase (β-Gal). The phase behavior of aqueous gelatin/maltodextrin mixtures was studied in detail, focusing on the multiphase region of the phase diag</w:instrText>
      </w:r>
      <w:r>
        <w:instrText>ram that is constituted by three equilibrium phases: two immiscible aqueous phases plus one solid phase. The solid phase was analyzed by Raman spectroscopy, and water-in-water emulsions were formed within the multiphase region. Gelation of the dispersed ge</w:instrText>
      </w:r>
      <w:r>
        <w:instrText>latin droplets was induced by cooling and cross-linking with genipin, which is a natural cross-linking reagent of low toxicity, leading to the formation of gelatin microgel particles. These microgels were studied as delivery vehicles for the enzyme lactase</w:instrText>
      </w:r>
      <w:r>
        <w:instrText>, used as a model active component. Various incorporation methods of the enzyme were tested, to achieve highest encapsulation yield and activity recovery. Microgel particles, loaded with the enzyme, can be freeze-dried, and the enzyme remained active after</w:instrText>
      </w:r>
      <w:r>
        <w:instrText xml:space="preserve"> a complete cycle of freeze-drying and rehydration. The stability of the enzyme at 37 °C under gastric and neutral pH conditions was tested and led to the conclusion that the cross-linked microgels could be suitable for use in food-industry, where β-Gal ca</w:instrText>
      </w:r>
      <w:r>
        <w:instrText>rriers are of interest for hydrolyzing lactose in milk products. ■ INTRODUCTION Water-in-oil (W/O) or oil-in-water (O/W) emulsions have since a long time been preferential templates for nano-and microparticles, despite the fact that using surfactants can b</w:instrText>
      </w:r>
      <w:r>
        <w:instrText>e a disadvantage for drug delivery where good biocompatibility is required. To assure biocompatibility of drug delivery systems (DDS), an interesting alternative is using water-in-water (W/ W) emulsions as templates to obtain DDS. 1 Water-in-water emulsion</w:instrText>
      </w:r>
      <w:r>
        <w:instrText>s are colloidal dispersions made of two immiscible aqueous phases that are in thermodynamic equilibrium, in absence of both oil and surfactant. 2 Mixtures of two hydrophilic polymers in aqueous solution can produce three different situations in phase behav</w:instrText>
      </w:r>
      <w:r>
        <w:instrText>ior: (a) complete miscibility, in the case of weak interactions between the two kinds of polymers; (b) associative phase separation, with formation of a precipitate/coacervate, because of strong attractive interactions between the two polymers; or (c) segr</w:instrText>
      </w:r>
      <w:r>
        <w:instrText>egative phase separation induced by repulsive interactions between the polymers. The latter case leads to the formation of aqueous two-phase systems,…","author":[{"dropping-particle":"","family":"Beldengrün","given":"Yoran","non-dropping-particle":"","pars</w:instrText>
      </w:r>
      <w:r>
        <w:instrText>e-names":false,"suffix":""},{"dropping-particle":"","family":"Aragon","given":"Jordi","non-dropping-particle":"","parse-names":false,"suffix":""},{"dropping-particle":"","family":"Prazeres","given":"Sofia F.","non-dropping-particle":"","parse-names":false,</w:instrText>
      </w:r>
      <w:r>
        <w:instrText>"suffix":""},{"dropping-particle":"","family":"Montalvo","given":"Gemma","non-dropping-particle":"","parse-names":false,"suffix":""},{"dropping-particle":"","family":"Miras","given":"J.","non-dropping-particle":"","parse-names":false,"suffix":""},{"droppin</w:instrText>
      </w:r>
      <w:r>
        <w:instrText>g-particle":"","family":"Esquena","given":"Jordi","non-dropping-particle":"","parse-names":false,"suffix":""}],"container-title":"Langmuir","id":"ITEM-1","issue":"33","issued":{"date-parts":[["2018"]]},"page":"9731-9743","title":"Gelatin/Maltodextrin Water</w:instrText>
      </w:r>
      <w:r>
        <w:instrText>-in-Water (W/W) Emulsions for the Preparation of Cross-Linked Enzyme-Loaded Microgels","type":"article-journal","volume":"34"},"uris":["http://www.mendeley.com/documents/?uuid=c981d63c-3458-4b7f-91f8-b3043b514a79"]}],"mendeley":{"formattedCitation":"[3]","</w:instrText>
      </w:r>
      <w:r>
        <w:instrText>plainTextFormattedCitation":"[3]","previouslyFormattedCitation":"[3]"},"properties":{"noteIndex":0},"schema":"https://github.com/citation-style-language/schema/raw/master/csl-citation.json"}</w:instrText>
      </w:r>
      <w:r>
        <w:fldChar w:fldCharType="separate"/>
      </w:r>
      <w:bookmarkStart w:id="2" w:name="__Fieldmark__4465_389947765"/>
      <w:r>
        <w:rPr>
          <w:rStyle w:val="Accentuation"/>
          <w:rFonts w:cs="Arial"/>
          <w:i w:val="0"/>
          <w:color w:val="0070C0"/>
        </w:rPr>
        <w:t>[3]</w:t>
      </w:r>
      <w:r>
        <w:fldChar w:fldCharType="end"/>
      </w:r>
      <w:bookmarkEnd w:id="2"/>
      <w:r>
        <w:rPr>
          <w:rStyle w:val="Accentuation"/>
          <w:rFonts w:cs="Arial"/>
          <w:i w:val="0"/>
        </w:rPr>
        <w:t>. Successful ATPS emulsification depends on thermodynamic in</w:t>
      </w:r>
      <w:r>
        <w:rPr>
          <w:rStyle w:val="Accentuation"/>
          <w:rFonts w:cs="Arial"/>
          <w:i w:val="0"/>
        </w:rPr>
        <w:t xml:space="preserve">compatibility between two (bio)polymers, causing segregative phase separation </w:t>
      </w:r>
      <w:r>
        <w:fldChar w:fldCharType="begin"/>
      </w:r>
      <w:r>
        <w:instrText>ADDIN CSL_CITATION {"citationItems":[{"id":"ITEM-1","itemData":{"DOI":"10.1016/j.cocis.2016.09.010","ISSN":"18790399","abstract":"Water-in-water (W/W) emulsions are colloidal dis</w:instrText>
      </w:r>
      <w:r>
        <w:instrText>persions of an aqueous solution into another aqueous phase. Such dispersions can be formed in mixtures of at least two hydrophilic macromolecules, which are thermodynamically incompatible in solution, generating two immiscible aqueous phases. W/W emulsions</w:instrText>
      </w:r>
      <w:r>
        <w:instrText xml:space="preserve"> are much less known than conventional oil-in-water or water-in-oil emulsions, despite the fact that phase separation in aqueous mixtures is highly common. The thermodynamics and the phase behavior of segregative phase separation in mixtures of hydrophilic</w:instrText>
      </w:r>
      <w:r>
        <w:instrText xml:space="preserve"> polymers have focused a great attention, with many excellent scientific reports in the literature. However, the kinetic stability of water-in-water emulsions is generally difficult to control, since amphiphilic molecules do not adsorb on water-water inter</w:instrText>
      </w:r>
      <w:r>
        <w:instrText>faces. Consequently, surfactants are not good stabilizers for W/W emulsions, and until recently, only a limited number of scientific studies have dealt with the formation and stabilization of emulsions in aqueous two-phase systems. Recent advances and succ</w:instrText>
      </w:r>
      <w:r>
        <w:instrText xml:space="preserve">essful results in the stabilization of these emulsions, by alternative mechanisms, have triggered a renewed interest. Nowadays, fast progress is being made in formation and stabilization methods, and new knowledge is rapidly acquired, opening a wide range </w:instrText>
      </w:r>
      <w:r>
        <w:instrText>of novel possibilities for practical applications. Interestingly, highly stable water-in-water emulsions can be formulated using fully biocompatible and edible components, and consequently, these emulsions can be used in food formulations, among many other</w:instrText>
      </w:r>
      <w:r>
        <w:instrText xml:space="preserve"> interesting applications. This review describes the general background of research in the field, and focuses on recent scientific advances, including phase behavior, formation, stability and kinetic aspects, as well as applications such as formation of mi</w:instrText>
      </w:r>
      <w:r>
        <w:instrText>crogels, encapsulation and drug delivery.","author":[{"dropping-particle":"","family":"Esquena","given":"Jordi","non-dropping-particle":"","parse-names":false,"suffix":""}],"container-title":"Current Opinion in Colloid and Interface Science","id":"ITEM-1",</w:instrText>
      </w:r>
      <w:r>
        <w:instrText>"issued":{"date-parts":[["2016"]]},"page":"109-119","title":"Water-in-water (W/W) emulsions","type":"article-journal","volume":"25"},"uris":["http://www.mendeley.com/documents/?uuid=0203f9d3-6ac0-423e-a26c-011542e6e0a5"]}],"mendeley":{"formattedCitation":"</w:instrText>
      </w:r>
      <w:r>
        <w:instrText>[4]","plainTextFormattedCitation":"[4]"},"properties":{"noteIndex":0},"schema":"https://github.com/citation-style-language/schema/raw/master/csl-citation.json"}</w:instrText>
      </w:r>
      <w:r>
        <w:fldChar w:fldCharType="separate"/>
      </w:r>
      <w:bookmarkStart w:id="3" w:name="__Fieldmark__4473_389947765"/>
      <w:r>
        <w:rPr>
          <w:rStyle w:val="Accentuation"/>
          <w:rFonts w:cs="Arial"/>
          <w:i w:val="0"/>
          <w:color w:val="0070C0"/>
        </w:rPr>
        <w:t>[4]</w:t>
      </w:r>
      <w:r>
        <w:fldChar w:fldCharType="end"/>
      </w:r>
      <w:bookmarkEnd w:id="3"/>
      <w:r>
        <w:rPr>
          <w:rStyle w:val="Accentuation"/>
          <w:rFonts w:cs="Arial"/>
          <w:i w:val="0"/>
        </w:rPr>
        <w:t>. Herein, we demonstrate that hydrophobization of whey proteins, by grafting acetyl moieti</w:t>
      </w:r>
      <w:r>
        <w:rPr>
          <w:rStyle w:val="Accentuation"/>
          <w:rFonts w:cs="Arial"/>
          <w:i w:val="0"/>
        </w:rPr>
        <w:t>es and heat denaturation, makes the proteins immiscible with a co-charged polysaccharide solution (alginate). Addition of erythritol, which is a low-calorie and zero-</w:t>
      </w:r>
      <w:proofErr w:type="spellStart"/>
      <w:r>
        <w:rPr>
          <w:rStyle w:val="Accentuation"/>
          <w:rFonts w:cs="Arial"/>
          <w:i w:val="0"/>
        </w:rPr>
        <w:t>glycemic</w:t>
      </w:r>
      <w:proofErr w:type="spellEnd"/>
      <w:r>
        <w:rPr>
          <w:rStyle w:val="Accentuation"/>
          <w:rFonts w:cs="Arial"/>
          <w:i w:val="0"/>
        </w:rPr>
        <w:t xml:space="preserve"> sugar alcohol, to the hydrophobized protein solution, enhanced emulsification and</w:t>
      </w:r>
      <w:r>
        <w:rPr>
          <w:rStyle w:val="Accentuation"/>
          <w:rFonts w:cs="Arial"/>
          <w:i w:val="0"/>
        </w:rPr>
        <w:t xml:space="preserve"> increased the stability of the resulting emulsion. Subsequently, the acid-induced gel properties of the emulsion </w:t>
      </w:r>
      <w:proofErr w:type="gramStart"/>
      <w:r>
        <w:rPr>
          <w:rStyle w:val="Accentuation"/>
          <w:rFonts w:cs="Arial"/>
          <w:i w:val="0"/>
        </w:rPr>
        <w:t>was studied</w:t>
      </w:r>
      <w:proofErr w:type="gramEnd"/>
      <w:r>
        <w:rPr>
          <w:rStyle w:val="Accentuation"/>
          <w:rFonts w:cs="Arial"/>
          <w:i w:val="0"/>
        </w:rPr>
        <w:t xml:space="preserve"> by dynamic rheometry and confocal microscopy. </w:t>
      </w:r>
    </w:p>
    <w:p w:rsidR="009F0550" w:rsidRDefault="00540EA6">
      <w:pPr>
        <w:spacing w:after="0"/>
        <w:rPr>
          <w:rStyle w:val="Accentuation"/>
          <w:rFonts w:cs="Arial"/>
          <w:i w:val="0"/>
        </w:rPr>
      </w:pPr>
      <w:r>
        <w:rPr>
          <w:rStyle w:val="Accentuation"/>
          <w:rFonts w:cs="Arial"/>
          <w:i w:val="0"/>
        </w:rPr>
        <w:t>Erythritol addition reduced the surface tension (at the air-water interface) of th</w:t>
      </w:r>
      <w:r>
        <w:rPr>
          <w:rStyle w:val="Accentuation"/>
          <w:rFonts w:cs="Arial"/>
          <w:i w:val="0"/>
        </w:rPr>
        <w:t>e hydrophobized</w:t>
      </w:r>
      <w:r w:rsidR="001D33F6">
        <w:rPr>
          <w:rStyle w:val="Accentuation"/>
          <w:rFonts w:cs="Arial"/>
          <w:i w:val="0"/>
        </w:rPr>
        <w:t xml:space="preserve"> protein solution</w:t>
      </w:r>
      <w:r>
        <w:rPr>
          <w:rStyle w:val="Accentuation"/>
          <w:rFonts w:cs="Arial"/>
          <w:i w:val="0"/>
        </w:rPr>
        <w:t xml:space="preserve">, enhancing the incompatibility between protein and alginate. It also postponed the </w:t>
      </w:r>
      <w:proofErr w:type="gramStart"/>
      <w:r>
        <w:rPr>
          <w:rStyle w:val="Accentuation"/>
          <w:rFonts w:cs="Arial"/>
          <w:i w:val="0"/>
        </w:rPr>
        <w:t>gelation</w:t>
      </w:r>
      <w:proofErr w:type="gramEnd"/>
      <w:r>
        <w:rPr>
          <w:rStyle w:val="Accentuation"/>
          <w:rFonts w:cs="Arial"/>
          <w:i w:val="0"/>
        </w:rPr>
        <w:t xml:space="preserve"> time of </w:t>
      </w:r>
      <w:r>
        <w:rPr>
          <w:rStyle w:val="Accentuation"/>
          <w:rFonts w:cs="Arial"/>
          <w:i w:val="0"/>
        </w:rPr>
        <w:lastRenderedPageBreak/>
        <w:t>the hydrophobized protein solution and resulte</w:t>
      </w:r>
      <w:r>
        <w:rPr>
          <w:rStyle w:val="Accentuation"/>
          <w:rFonts w:cs="Arial"/>
          <w:i w:val="0"/>
        </w:rPr>
        <w:t xml:space="preserve">d in formation of a softer gel. Confocal imaging of the emulsion gel confirmed micro-phase separation of alginate and the droplets </w:t>
      </w:r>
      <w:r w:rsidR="001D33F6" w:rsidRPr="001D33F6">
        <w:rPr>
          <w:rStyle w:val="Accentuation"/>
          <w:rFonts w:cs="Arial"/>
          <w:i w:val="0"/>
          <w:lang w:val="en-US"/>
        </w:rPr>
        <w:t>aggregation</w:t>
      </w:r>
      <w:r w:rsidR="001D33F6">
        <w:rPr>
          <w:rStyle w:val="Accentuation"/>
          <w:rFonts w:cs="Arial"/>
          <w:i w:val="0"/>
          <w:lang w:val="fr-FR"/>
        </w:rPr>
        <w:t xml:space="preserve"> </w:t>
      </w:r>
      <w:r>
        <w:rPr>
          <w:rStyle w:val="Accentuation"/>
          <w:rFonts w:cs="Arial"/>
          <w:i w:val="0"/>
        </w:rPr>
        <w:t xml:space="preserve">in the protein-rich matrix. </w:t>
      </w:r>
    </w:p>
    <w:p w:rsidR="00540EA6" w:rsidRDefault="00540EA6">
      <w:pPr>
        <w:spacing w:after="0"/>
        <w:rPr>
          <w:rStyle w:val="Accentuation"/>
          <w:rFonts w:cs="Arial"/>
          <w:i w:val="0"/>
        </w:rPr>
      </w:pPr>
    </w:p>
    <w:p w:rsidR="00540EA6" w:rsidRDefault="00540EA6">
      <w:pPr>
        <w:spacing w:after="0"/>
        <w:rPr>
          <w:rStyle w:val="Accentuation"/>
          <w:rFonts w:cs="Arial"/>
          <w:i w:val="0"/>
        </w:rPr>
      </w:pPr>
      <w:bookmarkStart w:id="4" w:name="_GoBack"/>
      <w:bookmarkEnd w:id="4"/>
    </w:p>
    <w:p w:rsidR="009F0550" w:rsidRDefault="001D33F6">
      <w:pPr>
        <w:spacing w:after="0"/>
        <w:rPr>
          <w:rStyle w:val="Accentuation"/>
          <w:rFonts w:cs="Arial"/>
          <w:i w:val="0"/>
        </w:rPr>
      </w:pPr>
      <w:r>
        <w:rPr>
          <w:rStyle w:val="Accentuation"/>
          <w:rFonts w:cs="Arial"/>
          <w:i w:val="0"/>
          <w:noProof/>
          <w:lang w:val="en-US"/>
        </w:rPr>
        <w:drawing>
          <wp:anchor distT="0" distB="0" distL="114300" distR="114300" simplePos="0" relativeHeight="251658240" behindDoc="1" locked="0" layoutInCell="1" allowOverlap="1">
            <wp:simplePos x="0" y="0"/>
            <wp:positionH relativeFrom="column">
              <wp:posOffset>107136</wp:posOffset>
            </wp:positionH>
            <wp:positionV relativeFrom="paragraph">
              <wp:posOffset>9741</wp:posOffset>
            </wp:positionV>
            <wp:extent cx="3204210" cy="2170430"/>
            <wp:effectExtent l="0" t="0" r="0" b="1270"/>
            <wp:wrapNone/>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Pr>
          <w:rFonts w:cs="Arial"/>
          <w:noProof/>
          <w:lang w:val="en-US"/>
        </w:rPr>
        <mc:AlternateContent>
          <mc:Choice Requires="wps">
            <w:drawing>
              <wp:anchor distT="0" distB="0" distL="114300" distR="114300" simplePos="0" relativeHeight="251660288" behindDoc="1" locked="0" layoutInCell="1" allowOverlap="1" wp14:anchorId="6DE91B5F" wp14:editId="22CC0665">
                <wp:simplePos x="0" y="0"/>
                <wp:positionH relativeFrom="column">
                  <wp:posOffset>167376</wp:posOffset>
                </wp:positionH>
                <wp:positionV relativeFrom="paragraph">
                  <wp:posOffset>108585</wp:posOffset>
                </wp:positionV>
                <wp:extent cx="278765" cy="262890"/>
                <wp:effectExtent l="0" t="0" r="26035" b="22860"/>
                <wp:wrapNone/>
                <wp:docPr id="6" name="Ellipse 1"/>
                <wp:cNvGraphicFramePr/>
                <a:graphic xmlns:a="http://schemas.openxmlformats.org/drawingml/2006/main">
                  <a:graphicData uri="http://schemas.microsoft.com/office/word/2010/wordprocessingShape">
                    <wps:wsp>
                      <wps:cNvSpPr/>
                      <wps:spPr>
                        <a:xfrm>
                          <a:off x="0" y="0"/>
                          <a:ext cx="278765" cy="262890"/>
                        </a:xfrm>
                        <a:prstGeom prst="ellipse">
                          <a:avLst/>
                        </a:prstGeom>
                        <a:solidFill>
                          <a:schemeClr val="bg1"/>
                        </a:solidFill>
                        <a:ln>
                          <a:solidFill>
                            <a:srgbClr val="0070C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w14:anchorId="6DE7DD57" id="Ellipse 1" o:spid="_x0000_s1026" style="position:absolute;margin-left:13.2pt;margin-top:8.55pt;width:21.95pt;height:20.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" fillcolor="white [3212]" strokecolor="#0070c0" strokeweight="2pt"/>
            </w:pict>
          </mc:Fallback>
        </mc:AlternateContent>
      </w:r>
      <w:r w:rsidR="00540EA6">
        <w:rPr>
          <w:rFonts w:cs="Arial"/>
          <w:noProof/>
          <w:lang w:val="en-US"/>
        </w:rPr>
        <mc:AlternateContent>
          <mc:Choice Requires="wps">
            <w:drawing>
              <wp:anchor distT="0" distB="0" distL="114300" distR="114300" simplePos="0" relativeHeight="3" behindDoc="1" locked="0" layoutInCell="1" allowOverlap="1" wp14:anchorId="5432A5D4">
                <wp:simplePos x="0" y="0"/>
                <wp:positionH relativeFrom="column">
                  <wp:posOffset>3930650</wp:posOffset>
                </wp:positionH>
                <wp:positionV relativeFrom="paragraph">
                  <wp:posOffset>100965</wp:posOffset>
                </wp:positionV>
                <wp:extent cx="278765" cy="262890"/>
                <wp:effectExtent l="0" t="0" r="26670" b="23495"/>
                <wp:wrapNone/>
                <wp:docPr id="2" name="Ellipse 55"/>
                <wp:cNvGraphicFramePr/>
                <a:graphic xmlns:a="http://schemas.openxmlformats.org/drawingml/2006/main">
                  <a:graphicData uri="http://schemas.microsoft.com/office/word/2010/wordprocessingShape">
                    <wps:wsp>
                      <wps:cNvSpPr/>
                      <wps:spPr>
                        <a:xfrm>
                          <a:off x="0" y="0"/>
                          <a:ext cx="278280" cy="262080"/>
                        </a:xfrm>
                        <a:prstGeom prst="ellipse">
                          <a:avLst/>
                        </a:prstGeom>
                        <a:solidFill>
                          <a:schemeClr val="bg1"/>
                        </a:solidFill>
                        <a:ln>
                          <a:solidFill>
                            <a:srgbClr val="0070C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w14:anchorId="58A43820" id="Ellipse 55" o:spid="_x0000_s1026" style="position:absolute;margin-left:309.5pt;margin-top:7.95pt;width:21.95pt;height:20.7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" fillcolor="white [3212]" strokecolor="#0070c0" strokeweight="2pt"/>
            </w:pict>
          </mc:Fallback>
        </mc:AlternateContent>
      </w:r>
      <w:r w:rsidR="00540EA6">
        <w:rPr>
          <w:rFonts w:cs="Arial"/>
          <w:noProof/>
          <w:lang w:val="en-US"/>
        </w:rPr>
        <w:drawing>
          <wp:anchor distT="0" distB="0" distL="114300" distR="114300" simplePos="0" relativeHeight="2" behindDoc="1" locked="0" layoutInCell="1" allowOverlap="1">
            <wp:simplePos x="0" y="0"/>
            <wp:positionH relativeFrom="column">
              <wp:posOffset>3674110</wp:posOffset>
            </wp:positionH>
            <wp:positionV relativeFrom="paragraph">
              <wp:posOffset>80010</wp:posOffset>
            </wp:positionV>
            <wp:extent cx="1987550" cy="1987550"/>
            <wp:effectExtent l="0" t="0" r="0" b="0"/>
            <wp:wrapNone/>
            <wp:docPr id="4" name="Image 51" descr="P:\MesDocs\My Activities\Post-doc\2018\Gelation\Confocal images\Emulsion_Airyscan_x63_zoom1_8-02.czi - 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1" descr="P:\MesDocs\My Activities\Post-doc\2018\Gelation\Confocal images\Emulsion_Airyscan_x63_zoom1_8-02.czi - T=0.png"/>
                    <pic:cNvPicPr>
                      <a:picLocks noChangeAspect="1" noChangeArrowheads="1"/>
                    </pic:cNvPicPr>
                  </pic:nvPicPr>
                  <pic:blipFill>
                    <a:blip r:embed="rId7"/>
                    <a:stretch>
                      <a:fillRect/>
                    </a:stretch>
                  </pic:blipFill>
                  <pic:spPr bwMode="auto">
                    <a:xfrm>
                      <a:off x="0" y="0"/>
                      <a:ext cx="1987550" cy="1987550"/>
                    </a:xfrm>
                    <a:prstGeom prst="rect">
                      <a:avLst/>
                    </a:prstGeom>
                  </pic:spPr>
                </pic:pic>
              </a:graphicData>
            </a:graphic>
          </wp:anchor>
        </w:drawing>
      </w:r>
    </w:p>
    <w:p w:rsidR="009F0550" w:rsidRDefault="00540EA6">
      <w:pPr>
        <w:spacing w:after="0"/>
        <w:rPr>
          <w:rStyle w:val="Accentuation"/>
          <w:rFonts w:cs="Arial"/>
          <w:i w:val="0"/>
        </w:rPr>
      </w:pPr>
      <w:r>
        <w:rPr>
          <w:rStyle w:val="Accentuation"/>
          <w:rFonts w:cs="Arial"/>
          <w:i w:val="0"/>
        </w:rPr>
        <w:t xml:space="preserve">        A                                                                          </w:t>
      </w:r>
      <w:r>
        <w:rPr>
          <w:rStyle w:val="Accentuation"/>
          <w:rFonts w:cs="Arial"/>
          <w:i w:val="0"/>
        </w:rPr>
        <w:t xml:space="preserve">                              B</w:t>
      </w:r>
    </w:p>
    <w:p w:rsidR="009F0550" w:rsidRDefault="009F0550">
      <w:pPr>
        <w:spacing w:after="0"/>
        <w:rPr>
          <w:rStyle w:val="Accentuation"/>
          <w:rFonts w:cs="Arial"/>
          <w:i w:val="0"/>
        </w:rPr>
      </w:pPr>
    </w:p>
    <w:p w:rsidR="009F0550" w:rsidRDefault="009F0550">
      <w:pPr>
        <w:spacing w:after="0"/>
        <w:rPr>
          <w:rStyle w:val="Accentuation"/>
          <w:rFonts w:cs="Arial"/>
          <w:i w:val="0"/>
        </w:rPr>
      </w:pPr>
    </w:p>
    <w:p w:rsidR="009F0550" w:rsidRDefault="009F0550">
      <w:pPr>
        <w:spacing w:after="0"/>
        <w:rPr>
          <w:rStyle w:val="Accentuation"/>
          <w:rFonts w:cs="Arial"/>
          <w:i w:val="0"/>
        </w:rPr>
      </w:pPr>
    </w:p>
    <w:p w:rsidR="009F0550" w:rsidRDefault="001D33F6" w:rsidP="001D33F6">
      <w:pPr>
        <w:tabs>
          <w:tab w:val="left" w:pos="1032"/>
        </w:tabs>
        <w:spacing w:after="0"/>
        <w:rPr>
          <w:rStyle w:val="Accentuation"/>
          <w:rFonts w:cs="Arial"/>
          <w:i w:val="0"/>
        </w:rPr>
      </w:pPr>
      <w:r>
        <w:rPr>
          <w:rStyle w:val="Accentuation"/>
          <w:rFonts w:cs="Arial"/>
          <w:i w:val="0"/>
        </w:rPr>
        <w:tab/>
      </w:r>
    </w:p>
    <w:p w:rsidR="009F0550" w:rsidRDefault="009F0550">
      <w:pPr>
        <w:spacing w:after="0"/>
        <w:rPr>
          <w:rStyle w:val="Accentuation"/>
          <w:rFonts w:cs="Arial"/>
          <w:i w:val="0"/>
        </w:rPr>
      </w:pPr>
    </w:p>
    <w:p w:rsidR="009F0550" w:rsidRDefault="001D33F6" w:rsidP="001D33F6">
      <w:pPr>
        <w:tabs>
          <w:tab w:val="left" w:pos="1005"/>
        </w:tabs>
        <w:spacing w:after="0"/>
        <w:rPr>
          <w:rStyle w:val="Accentuation"/>
          <w:rFonts w:cs="Arial"/>
          <w:i w:val="0"/>
        </w:rPr>
      </w:pPr>
      <w:r>
        <w:rPr>
          <w:rStyle w:val="Accentuation"/>
          <w:rFonts w:cs="Arial"/>
          <w:i w:val="0"/>
        </w:rPr>
        <w:tab/>
      </w:r>
    </w:p>
    <w:p w:rsidR="009F0550" w:rsidRDefault="009F0550">
      <w:pPr>
        <w:spacing w:after="0"/>
        <w:rPr>
          <w:rStyle w:val="Accentuation"/>
          <w:rFonts w:cs="Arial"/>
          <w:i w:val="0"/>
        </w:rPr>
      </w:pPr>
    </w:p>
    <w:p w:rsidR="009F0550" w:rsidRDefault="009F0550">
      <w:pPr>
        <w:spacing w:after="0"/>
        <w:rPr>
          <w:rStyle w:val="Accentuation"/>
          <w:rFonts w:cs="Arial"/>
          <w:i w:val="0"/>
        </w:rPr>
      </w:pPr>
    </w:p>
    <w:p w:rsidR="009F0550" w:rsidRDefault="009F0550">
      <w:pPr>
        <w:spacing w:after="0"/>
        <w:rPr>
          <w:rStyle w:val="Accentuation"/>
          <w:rFonts w:cs="Arial"/>
          <w:i w:val="0"/>
        </w:rPr>
      </w:pPr>
    </w:p>
    <w:p w:rsidR="009F0550" w:rsidRDefault="009F0550">
      <w:pPr>
        <w:spacing w:after="0"/>
        <w:rPr>
          <w:rStyle w:val="Accentuation"/>
          <w:rFonts w:cs="Arial"/>
          <w:i w:val="0"/>
        </w:rPr>
      </w:pPr>
    </w:p>
    <w:p w:rsidR="009F0550" w:rsidRDefault="009F0550">
      <w:pPr>
        <w:spacing w:after="0"/>
        <w:rPr>
          <w:rStyle w:val="Accentuation"/>
          <w:rFonts w:cs="Arial"/>
          <w:i w:val="0"/>
          <w:color w:val="0070C0"/>
        </w:rPr>
      </w:pPr>
    </w:p>
    <w:p w:rsidR="009F0550" w:rsidRDefault="009F0550">
      <w:pPr>
        <w:spacing w:after="0"/>
        <w:rPr>
          <w:rStyle w:val="Accentuation"/>
          <w:rFonts w:cs="Arial"/>
          <w:i w:val="0"/>
          <w:color w:val="0070C0"/>
        </w:rPr>
      </w:pPr>
    </w:p>
    <w:p w:rsidR="009F0550" w:rsidRDefault="009F0550">
      <w:pPr>
        <w:spacing w:after="0"/>
        <w:rPr>
          <w:rStyle w:val="Accentuation"/>
          <w:rFonts w:cs="Arial"/>
          <w:i w:val="0"/>
          <w:color w:val="0070C0"/>
        </w:rPr>
      </w:pPr>
    </w:p>
    <w:p w:rsidR="009F0550" w:rsidRDefault="00540EA6">
      <w:pPr>
        <w:spacing w:after="0"/>
        <w:rPr>
          <w:rStyle w:val="Accentuation"/>
          <w:rFonts w:cs="Arial"/>
          <w:i w:val="0"/>
        </w:rPr>
      </w:pPr>
      <w:r>
        <w:rPr>
          <w:rStyle w:val="Accentuation"/>
          <w:rFonts w:cs="Arial"/>
          <w:i w:val="0"/>
        </w:rPr>
        <w:t xml:space="preserve">Fig. 1. A: G’, storage (circles) and G’’, loss (cubes) moduli of the alginate-in-whey protein emulsion gel measured by a frequency sweep test; and B: a typical CLSM image of the emulsion gel. </w:t>
      </w:r>
    </w:p>
    <w:p w:rsidR="009F0550" w:rsidRDefault="009F0550">
      <w:pPr>
        <w:spacing w:after="0"/>
        <w:rPr>
          <w:rStyle w:val="Accentuation"/>
          <w:rFonts w:cs="Arial"/>
          <w:b/>
          <w:i w:val="0"/>
        </w:rPr>
      </w:pPr>
    </w:p>
    <w:p w:rsidR="009F0550" w:rsidRDefault="009F0550">
      <w:pPr>
        <w:spacing w:after="0"/>
        <w:rPr>
          <w:rStyle w:val="Accentuation"/>
          <w:rFonts w:cs="Arial"/>
          <w:b/>
          <w:i w:val="0"/>
        </w:rPr>
      </w:pPr>
    </w:p>
    <w:p w:rsidR="009F0550" w:rsidRDefault="00540EA6">
      <w:pPr>
        <w:spacing w:after="0"/>
        <w:rPr>
          <w:rStyle w:val="Accentuation"/>
          <w:rFonts w:cs="Arial"/>
          <w:b/>
          <w:i w:val="0"/>
        </w:rPr>
      </w:pPr>
      <w:r>
        <w:rPr>
          <w:rStyle w:val="Accentuation"/>
          <w:rFonts w:cs="Arial"/>
          <w:b/>
          <w:i w:val="0"/>
        </w:rPr>
        <w:t>References</w:t>
      </w:r>
    </w:p>
    <w:p w:rsidR="009F0550" w:rsidRDefault="009F0550">
      <w:pPr>
        <w:spacing w:after="0"/>
        <w:rPr>
          <w:rStyle w:val="Accentuation"/>
          <w:rFonts w:cs="Arial"/>
          <w:i w:val="0"/>
          <w:color w:val="0070C0"/>
        </w:rPr>
      </w:pPr>
    </w:p>
    <w:p w:rsidR="009F0550" w:rsidRDefault="00540EA6">
      <w:pPr>
        <w:widowControl w:val="0"/>
        <w:spacing w:after="0"/>
        <w:ind w:left="640" w:hanging="640"/>
      </w:pPr>
      <w:r>
        <w:fldChar w:fldCharType="begin"/>
      </w:r>
      <w:r>
        <w:instrText>ADDIN Mendeley Bibliography CSL_BIBLIOGRAPHY</w:instrText>
      </w:r>
      <w:r>
        <w:fldChar w:fldCharType="separate"/>
      </w:r>
      <w:bookmarkStart w:id="5" w:name="__Fieldmark__4519_389947765"/>
      <w:r>
        <w:rPr>
          <w:rFonts w:cs="Arial"/>
        </w:rPr>
        <w:t>[1]</w:t>
      </w:r>
      <w:r>
        <w:rPr>
          <w:rFonts w:cs="Arial"/>
        </w:rPr>
        <w:tab/>
        <w:t>D.C. Dewey, C.A. Strulson, D.N. Cacace, P.C. Bevilacqua, C.D. Keating, Bioreactor droplets from liposome-stabilized all-aqueous emulsions, Nat. Commun. 5 (2014). doi:10.1038/ncomms5670.</w:t>
      </w:r>
      <w:r>
        <w:rPr>
          <w:rFonts w:cs="Arial"/>
        </w:rPr>
        <w:fldChar w:fldCharType="end"/>
      </w:r>
      <w:bookmarkEnd w:id="5"/>
    </w:p>
    <w:p w:rsidR="009F0550" w:rsidRDefault="00540EA6">
      <w:pPr>
        <w:widowControl w:val="0"/>
        <w:spacing w:after="0"/>
        <w:ind w:left="640" w:hanging="640"/>
        <w:rPr>
          <w:rFonts w:cs="Arial"/>
        </w:rPr>
      </w:pPr>
      <w:r>
        <w:rPr>
          <w:rFonts w:cs="Arial"/>
        </w:rPr>
        <w:t>[2]</w:t>
      </w:r>
      <w:r>
        <w:rPr>
          <w:rFonts w:cs="Arial"/>
        </w:rPr>
        <w:tab/>
        <w:t xml:space="preserve">Y. Song, U. </w:t>
      </w:r>
      <w:proofErr w:type="spellStart"/>
      <w:r>
        <w:rPr>
          <w:rFonts w:cs="Arial"/>
        </w:rPr>
        <w:t>Shi</w:t>
      </w:r>
      <w:r>
        <w:rPr>
          <w:rFonts w:cs="Arial"/>
        </w:rPr>
        <w:t>manovich</w:t>
      </w:r>
      <w:proofErr w:type="spellEnd"/>
      <w:r>
        <w:rPr>
          <w:rFonts w:cs="Arial"/>
        </w:rPr>
        <w:t xml:space="preserve">, T.C.T. Michaels, Q. Ma, J. Li, T.P.J. Knowles, H.C. Shum, Fabrication of </w:t>
      </w:r>
      <w:proofErr w:type="spellStart"/>
      <w:r>
        <w:rPr>
          <w:rFonts w:cs="Arial"/>
        </w:rPr>
        <w:t>fibrillosomes</w:t>
      </w:r>
      <w:proofErr w:type="spellEnd"/>
      <w:r>
        <w:rPr>
          <w:rFonts w:cs="Arial"/>
        </w:rPr>
        <w:t xml:space="preserve"> from droplets stabilized by protein nanofibrils at all-aqueous interfaces, Nat. </w:t>
      </w:r>
      <w:proofErr w:type="spellStart"/>
      <w:r>
        <w:rPr>
          <w:rFonts w:cs="Arial"/>
        </w:rPr>
        <w:t>Commun</w:t>
      </w:r>
      <w:proofErr w:type="spellEnd"/>
      <w:r>
        <w:rPr>
          <w:rFonts w:cs="Arial"/>
        </w:rPr>
        <w:t xml:space="preserve">. </w:t>
      </w:r>
      <w:proofErr w:type="gramStart"/>
      <w:r>
        <w:rPr>
          <w:rFonts w:cs="Arial"/>
        </w:rPr>
        <w:t>7</w:t>
      </w:r>
      <w:proofErr w:type="gramEnd"/>
      <w:r>
        <w:rPr>
          <w:rFonts w:cs="Arial"/>
        </w:rPr>
        <w:t xml:space="preserve"> (2016). </w:t>
      </w:r>
      <w:proofErr w:type="gramStart"/>
      <w:r>
        <w:rPr>
          <w:rFonts w:cs="Arial"/>
        </w:rPr>
        <w:t>doi:</w:t>
      </w:r>
      <w:proofErr w:type="gramEnd"/>
      <w:r>
        <w:rPr>
          <w:rFonts w:cs="Arial"/>
        </w:rPr>
        <w:t>10.1038/ncomms12934.</w:t>
      </w:r>
    </w:p>
    <w:p w:rsidR="009F0550" w:rsidRDefault="00540EA6">
      <w:pPr>
        <w:widowControl w:val="0"/>
        <w:spacing w:after="0"/>
        <w:ind w:left="640" w:hanging="640"/>
        <w:rPr>
          <w:rFonts w:cs="Arial"/>
        </w:rPr>
      </w:pPr>
      <w:r>
        <w:rPr>
          <w:rFonts w:cs="Arial"/>
        </w:rPr>
        <w:t>[3]</w:t>
      </w:r>
      <w:r>
        <w:rPr>
          <w:rFonts w:cs="Arial"/>
        </w:rPr>
        <w:tab/>
        <w:t xml:space="preserve">Y. </w:t>
      </w:r>
      <w:proofErr w:type="spellStart"/>
      <w:r>
        <w:rPr>
          <w:rFonts w:cs="Arial"/>
        </w:rPr>
        <w:t>Beldengrün</w:t>
      </w:r>
      <w:proofErr w:type="spellEnd"/>
      <w:r>
        <w:rPr>
          <w:rFonts w:cs="Arial"/>
        </w:rPr>
        <w:t xml:space="preserve">, J. Aragon, S.F. </w:t>
      </w:r>
      <w:proofErr w:type="spellStart"/>
      <w:r>
        <w:rPr>
          <w:rFonts w:cs="Arial"/>
        </w:rPr>
        <w:t>Prazeres</w:t>
      </w:r>
      <w:proofErr w:type="spellEnd"/>
      <w:r>
        <w:rPr>
          <w:rFonts w:cs="Arial"/>
        </w:rPr>
        <w:t xml:space="preserve">, G. Montalvo, J. </w:t>
      </w:r>
      <w:proofErr w:type="spellStart"/>
      <w:r>
        <w:rPr>
          <w:rFonts w:cs="Arial"/>
        </w:rPr>
        <w:t>Miras</w:t>
      </w:r>
      <w:proofErr w:type="spellEnd"/>
      <w:r>
        <w:rPr>
          <w:rFonts w:cs="Arial"/>
        </w:rPr>
        <w:t xml:space="preserve">, J. </w:t>
      </w:r>
      <w:proofErr w:type="spellStart"/>
      <w:r>
        <w:rPr>
          <w:rFonts w:cs="Arial"/>
        </w:rPr>
        <w:t>Esquena</w:t>
      </w:r>
      <w:proofErr w:type="spellEnd"/>
      <w:r>
        <w:rPr>
          <w:rFonts w:cs="Arial"/>
        </w:rPr>
        <w:t xml:space="preserve">, </w:t>
      </w:r>
      <w:proofErr w:type="spellStart"/>
      <w:r>
        <w:rPr>
          <w:rFonts w:cs="Arial"/>
        </w:rPr>
        <w:t>Gelatin</w:t>
      </w:r>
      <w:proofErr w:type="spellEnd"/>
      <w:r>
        <w:rPr>
          <w:rFonts w:cs="Arial"/>
        </w:rPr>
        <w:t xml:space="preserve">/Maltodextrin Water-in-Water (W/W) Emulsions for the Preparation of Cross-Linked Enzyme-Loaded </w:t>
      </w:r>
      <w:proofErr w:type="spellStart"/>
      <w:r>
        <w:rPr>
          <w:rFonts w:cs="Arial"/>
        </w:rPr>
        <w:t>Microgels</w:t>
      </w:r>
      <w:proofErr w:type="spellEnd"/>
      <w:r>
        <w:rPr>
          <w:rFonts w:cs="Arial"/>
        </w:rPr>
        <w:t xml:space="preserve">, Langmuir. </w:t>
      </w:r>
      <w:proofErr w:type="gramStart"/>
      <w:r>
        <w:rPr>
          <w:rFonts w:cs="Arial"/>
        </w:rPr>
        <w:t>34</w:t>
      </w:r>
      <w:proofErr w:type="gramEnd"/>
      <w:r>
        <w:rPr>
          <w:rFonts w:cs="Arial"/>
        </w:rPr>
        <w:t xml:space="preserve"> (2018) 9731–9743. doi:10.1021/acs.langmuir.8b01599.</w:t>
      </w:r>
    </w:p>
    <w:p w:rsidR="009F0550" w:rsidRDefault="00540EA6">
      <w:pPr>
        <w:widowControl w:val="0"/>
        <w:spacing w:after="0"/>
        <w:ind w:left="640" w:hanging="640"/>
        <w:rPr>
          <w:rFonts w:cs="Arial"/>
        </w:rPr>
      </w:pPr>
      <w:r>
        <w:rPr>
          <w:rFonts w:cs="Arial"/>
        </w:rPr>
        <w:t>[4]</w:t>
      </w:r>
      <w:r>
        <w:rPr>
          <w:rFonts w:cs="Arial"/>
        </w:rPr>
        <w:tab/>
        <w:t xml:space="preserve">J. </w:t>
      </w:r>
      <w:proofErr w:type="spellStart"/>
      <w:r>
        <w:rPr>
          <w:rFonts w:cs="Arial"/>
        </w:rPr>
        <w:t>Esquena</w:t>
      </w:r>
      <w:proofErr w:type="spellEnd"/>
      <w:r>
        <w:rPr>
          <w:rFonts w:cs="Arial"/>
        </w:rPr>
        <w:t>, Water-in-water (W</w:t>
      </w:r>
      <w:r>
        <w:rPr>
          <w:rFonts w:cs="Arial"/>
        </w:rPr>
        <w:t xml:space="preserve">/W) emulsions, </w:t>
      </w:r>
      <w:proofErr w:type="spellStart"/>
      <w:r>
        <w:rPr>
          <w:rFonts w:cs="Arial"/>
        </w:rPr>
        <w:t>Curr</w:t>
      </w:r>
      <w:proofErr w:type="spellEnd"/>
      <w:r>
        <w:rPr>
          <w:rFonts w:cs="Arial"/>
        </w:rPr>
        <w:t xml:space="preserve">. </w:t>
      </w:r>
      <w:proofErr w:type="spellStart"/>
      <w:r>
        <w:rPr>
          <w:rFonts w:cs="Arial"/>
        </w:rPr>
        <w:t>Opin</w:t>
      </w:r>
      <w:proofErr w:type="spellEnd"/>
      <w:r>
        <w:rPr>
          <w:rFonts w:cs="Arial"/>
        </w:rPr>
        <w:t>. Colloid Interface Sci. 25 (2016) 109–119. doi:10.1016/j.cocis.2016.09.010.</w:t>
      </w:r>
    </w:p>
    <w:p w:rsidR="009F0550" w:rsidRDefault="009F0550">
      <w:pPr>
        <w:spacing w:after="0"/>
      </w:pPr>
    </w:p>
    <w:sectPr w:rsidR="009F0550">
      <w:pgSz w:w="11906" w:h="16838"/>
      <w:pgMar w:top="1134"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C556B"/>
    <w:multiLevelType w:val="multilevel"/>
    <w:tmpl w:val="807EC428"/>
    <w:lvl w:ilvl="0">
      <w:start w:val="1"/>
      <w:numFmt w:val="decimal"/>
      <w:pStyle w:val="Titre1"/>
      <w:lvlText w:val="%1."/>
      <w:lvlJc w:val="left"/>
      <w:pPr>
        <w:ind w:left="357" w:hanging="357"/>
      </w:pPr>
      <w:rPr>
        <w:rFonts w:cs="Times New Roman"/>
        <w:i w:val="0"/>
        <w:caps w:val="0"/>
        <w:smallCaps w:val="0"/>
        <w:strike w:val="0"/>
        <w:dstrike w:val="0"/>
        <w:vanish w:val="0"/>
        <w:color w:val="000000"/>
        <w:spacing w:val="0"/>
        <w:kern w:val="0"/>
        <w:position w:val="0"/>
        <w:sz w:val="20"/>
        <w:u w:val="none"/>
        <w:vertAlign w:val="baseline"/>
        <w:em w:val="none"/>
      </w:rPr>
    </w:lvl>
    <w:lvl w:ilvl="1">
      <w:start w:val="1"/>
      <w:numFmt w:val="decimal"/>
      <w:pStyle w:val="Titre2"/>
      <w:lvlText w:val="%1.%2."/>
      <w:lvlJc w:val="left"/>
      <w:pPr>
        <w:ind w:left="567" w:hanging="567"/>
      </w:pPr>
      <w:rPr>
        <w:b/>
        <w:i w:val="0"/>
        <w:sz w:val="22"/>
      </w:rPr>
    </w:lvl>
    <w:lvl w:ilvl="2">
      <w:start w:val="1"/>
      <w:numFmt w:val="decimal"/>
      <w:pStyle w:val="Titre3"/>
      <w:lvlText w:val="%1.%2.%3."/>
      <w:lvlJc w:val="left"/>
      <w:pPr>
        <w:ind w:left="851" w:hanging="851"/>
      </w:pPr>
      <w:rPr>
        <w:b/>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50"/>
    <w:rsid w:val="001D33F6"/>
    <w:rsid w:val="00540EA6"/>
    <w:rsid w:val="009F0550"/>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D405"/>
  <w15:docId w15:val="{83CB6E21-5D57-4877-8EB2-00A8D622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92"/>
    <w:pPr>
      <w:spacing w:after="120"/>
      <w:jc w:val="both"/>
    </w:pPr>
    <w:rPr>
      <w:rFonts w:ascii="Arial" w:hAnsi="Arial"/>
      <w:szCs w:val="24"/>
      <w:lang w:val="en-GB" w:eastAsia="en-US"/>
    </w:rPr>
  </w:style>
  <w:style w:type="paragraph" w:styleId="Titre1">
    <w:name w:val="heading 1"/>
    <w:basedOn w:val="Normal"/>
    <w:next w:val="Normal"/>
    <w:link w:val="Titre1Car"/>
    <w:uiPriority w:val="9"/>
    <w:qFormat/>
    <w:rsid w:val="002C3CF8"/>
    <w:pPr>
      <w:keepNext/>
      <w:numPr>
        <w:numId w:val="1"/>
      </w:numPr>
      <w:spacing w:before="360"/>
      <w:jc w:val="left"/>
      <w:outlineLvl w:val="0"/>
    </w:pPr>
    <w:rPr>
      <w:b/>
      <w:bCs/>
      <w:kern w:val="2"/>
      <w:sz w:val="24"/>
      <w:szCs w:val="32"/>
    </w:rPr>
  </w:style>
  <w:style w:type="paragraph" w:styleId="Titre2">
    <w:name w:val="heading 2"/>
    <w:basedOn w:val="Normal"/>
    <w:next w:val="Normal"/>
    <w:link w:val="Titre2Car"/>
    <w:uiPriority w:val="9"/>
    <w:unhideWhenUsed/>
    <w:qFormat/>
    <w:rsid w:val="00B22AFA"/>
    <w:pPr>
      <w:keepNext/>
      <w:numPr>
        <w:ilvl w:val="1"/>
        <w:numId w:val="1"/>
      </w:numPr>
      <w:spacing w:before="240"/>
      <w:jc w:val="left"/>
      <w:outlineLvl w:val="1"/>
    </w:pPr>
    <w:rPr>
      <w:b/>
      <w:bCs/>
      <w:iCs/>
      <w:sz w:val="22"/>
      <w:szCs w:val="28"/>
    </w:rPr>
  </w:style>
  <w:style w:type="paragraph" w:styleId="Titre3">
    <w:name w:val="heading 3"/>
    <w:basedOn w:val="Normal"/>
    <w:next w:val="Normal"/>
    <w:link w:val="Titre3Car"/>
    <w:uiPriority w:val="9"/>
    <w:unhideWhenUsed/>
    <w:qFormat/>
    <w:rsid w:val="002C3CF8"/>
    <w:pPr>
      <w:keepNext/>
      <w:numPr>
        <w:ilvl w:val="2"/>
        <w:numId w:val="1"/>
      </w:numPr>
      <w:spacing w:before="180"/>
      <w:jc w:val="left"/>
      <w:outlineLvl w:val="2"/>
    </w:pPr>
    <w:rPr>
      <w:b/>
      <w:bCs/>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semiHidden/>
    <w:rPr>
      <w:color w:val="0000FF"/>
      <w:u w:val="single"/>
    </w:rPr>
  </w:style>
  <w:style w:type="character" w:customStyle="1" w:styleId="BalloonTextChar">
    <w:name w:val="Balloon Text Char"/>
    <w:semiHidden/>
    <w:qFormat/>
    <w:rPr>
      <w:rFonts w:ascii="Tahoma" w:hAnsi="Tahoma" w:cs="Tahoma"/>
      <w:sz w:val="16"/>
      <w:szCs w:val="16"/>
      <w:lang w:val="en-GB" w:eastAsia="en-US"/>
    </w:rPr>
  </w:style>
  <w:style w:type="character" w:customStyle="1" w:styleId="TitreCar">
    <w:name w:val="Titre Car"/>
    <w:link w:val="Titre"/>
    <w:uiPriority w:val="10"/>
    <w:qFormat/>
    <w:rsid w:val="007A1427"/>
    <w:rPr>
      <w:rFonts w:ascii="Arial" w:hAnsi="Arial"/>
      <w:b/>
      <w:bCs/>
      <w:kern w:val="2"/>
      <w:sz w:val="32"/>
      <w:szCs w:val="32"/>
      <w:lang w:eastAsia="en-US"/>
    </w:rPr>
  </w:style>
  <w:style w:type="character" w:customStyle="1" w:styleId="Titre1Car">
    <w:name w:val="Titre 1 Car"/>
    <w:link w:val="Titre1"/>
    <w:uiPriority w:val="9"/>
    <w:qFormat/>
    <w:rsid w:val="002C3CF8"/>
    <w:rPr>
      <w:rFonts w:ascii="Arial" w:hAnsi="Arial"/>
      <w:b/>
      <w:bCs/>
      <w:kern w:val="2"/>
      <w:sz w:val="24"/>
      <w:szCs w:val="32"/>
      <w:lang w:eastAsia="en-US"/>
    </w:rPr>
  </w:style>
  <w:style w:type="character" w:styleId="Titredulivre">
    <w:name w:val="Book Title"/>
    <w:uiPriority w:val="33"/>
    <w:qFormat/>
    <w:rsid w:val="00DF7FC1"/>
    <w:rPr>
      <w:b/>
      <w:bCs/>
      <w:smallCaps/>
      <w:spacing w:val="5"/>
    </w:rPr>
  </w:style>
  <w:style w:type="character" w:customStyle="1" w:styleId="Titre2Car">
    <w:name w:val="Titre 2 Car"/>
    <w:link w:val="Titre2"/>
    <w:uiPriority w:val="9"/>
    <w:qFormat/>
    <w:rsid w:val="00B22AFA"/>
    <w:rPr>
      <w:rFonts w:ascii="Arial" w:hAnsi="Arial"/>
      <w:b/>
      <w:bCs/>
      <w:iCs/>
      <w:sz w:val="22"/>
      <w:szCs w:val="28"/>
      <w:lang w:eastAsia="en-US"/>
    </w:rPr>
  </w:style>
  <w:style w:type="character" w:customStyle="1" w:styleId="Titre3Car">
    <w:name w:val="Titre 3 Car"/>
    <w:link w:val="Titre3"/>
    <w:uiPriority w:val="9"/>
    <w:qFormat/>
    <w:rsid w:val="002C3CF8"/>
    <w:rPr>
      <w:rFonts w:ascii="Arial" w:hAnsi="Arial"/>
      <w:b/>
      <w:bCs/>
      <w:szCs w:val="26"/>
      <w:u w:val="single"/>
      <w:lang w:eastAsia="en-US"/>
    </w:rPr>
  </w:style>
  <w:style w:type="character" w:customStyle="1" w:styleId="Sous-titreCar">
    <w:name w:val="Sous-titre Car"/>
    <w:uiPriority w:val="11"/>
    <w:qFormat/>
    <w:rsid w:val="007A1427"/>
    <w:rPr>
      <w:rFonts w:ascii="Cambria" w:eastAsia="Times New Roman" w:hAnsi="Cambria" w:cs="Times New Roman"/>
      <w:b/>
      <w:sz w:val="24"/>
      <w:szCs w:val="24"/>
      <w:lang w:eastAsia="en-US"/>
    </w:rPr>
  </w:style>
  <w:style w:type="character" w:styleId="Marquedecommentaire">
    <w:name w:val="annotation reference"/>
    <w:uiPriority w:val="99"/>
    <w:semiHidden/>
    <w:unhideWhenUsed/>
    <w:qFormat/>
    <w:rsid w:val="00355271"/>
    <w:rPr>
      <w:sz w:val="16"/>
      <w:szCs w:val="16"/>
    </w:rPr>
  </w:style>
  <w:style w:type="character" w:customStyle="1" w:styleId="CommentaireCar">
    <w:name w:val="Commentaire Car"/>
    <w:link w:val="Commentaire"/>
    <w:uiPriority w:val="99"/>
    <w:semiHidden/>
    <w:qFormat/>
    <w:rsid w:val="00355271"/>
    <w:rPr>
      <w:rFonts w:ascii="Arial" w:hAnsi="Arial"/>
      <w:lang w:val="en-GB" w:eastAsia="en-US"/>
    </w:rPr>
  </w:style>
  <w:style w:type="character" w:customStyle="1" w:styleId="ObjetducommentaireCar">
    <w:name w:val="Objet du commentaire Car"/>
    <w:link w:val="Objetducommentaire"/>
    <w:uiPriority w:val="99"/>
    <w:semiHidden/>
    <w:qFormat/>
    <w:rsid w:val="00355271"/>
    <w:rPr>
      <w:rFonts w:ascii="Arial" w:hAnsi="Arial"/>
      <w:b/>
      <w:bCs/>
      <w:lang w:val="en-GB" w:eastAsia="en-US"/>
    </w:rPr>
  </w:style>
  <w:style w:type="character" w:styleId="Textedelespacerserv">
    <w:name w:val="Placeholder Text"/>
    <w:basedOn w:val="Policepardfaut"/>
    <w:uiPriority w:val="67"/>
    <w:qFormat/>
    <w:rsid w:val="005311DE"/>
    <w:rPr>
      <w:color w:val="808080"/>
    </w:rPr>
  </w:style>
  <w:style w:type="character" w:customStyle="1" w:styleId="WW8Num2z3">
    <w:name w:val="WW8Num2z3"/>
    <w:qFormat/>
    <w:rsid w:val="005B0A1E"/>
    <w:rPr>
      <w:rFonts w:ascii="Symbol" w:hAnsi="Symbol" w:cs="Symbol"/>
    </w:rPr>
  </w:style>
  <w:style w:type="character" w:styleId="Accentuation">
    <w:name w:val="Emphasis"/>
    <w:uiPriority w:val="20"/>
    <w:qFormat/>
    <w:rsid w:val="005B0A1E"/>
    <w:rPr>
      <w:i/>
      <w:iCs/>
    </w:rPr>
  </w:style>
  <w:style w:type="character" w:customStyle="1" w:styleId="st">
    <w:name w:val="st"/>
    <w:basedOn w:val="Policepardfaut"/>
    <w:qFormat/>
    <w:rsid w:val="005B0A1E"/>
  </w:style>
  <w:style w:type="character" w:customStyle="1" w:styleId="ListLabel1">
    <w:name w:val="ListLabel 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2">
    <w:name w:val="ListLabel 2"/>
    <w:qFormat/>
    <w:rPr>
      <w:b/>
      <w:i w:val="0"/>
      <w:sz w:val="22"/>
    </w:rPr>
  </w:style>
  <w:style w:type="character" w:customStyle="1" w:styleId="ListLabel3">
    <w:name w:val="ListLabel 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
    <w:name w:val="ListLabel 4"/>
    <w:qFormat/>
    <w:rPr>
      <w:b/>
      <w:i w:val="0"/>
      <w:sz w:val="22"/>
    </w:rPr>
  </w:style>
  <w:style w:type="character" w:customStyle="1" w:styleId="ListLabel5">
    <w:name w:val="ListLabel 5"/>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6">
    <w:name w:val="ListLabel 6"/>
    <w:qFormat/>
    <w:rPr>
      <w:b/>
      <w:i w:val="0"/>
      <w:sz w:val="22"/>
    </w:rPr>
  </w:style>
  <w:style w:type="character" w:customStyle="1" w:styleId="ListLabel7">
    <w:name w:val="ListLabel 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8">
    <w:name w:val="ListLabel 8"/>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9">
    <w:name w:val="ListLabel 9"/>
    <w:qFormat/>
    <w:rPr>
      <w:b/>
      <w:i w:val="0"/>
      <w:sz w:val="22"/>
    </w:rPr>
  </w:style>
  <w:style w:type="character" w:customStyle="1" w:styleId="ListLabel10">
    <w:name w:val="ListLabel 10"/>
    <w:qFormat/>
    <w:rPr>
      <w:b/>
      <w:i w:val="0"/>
      <w:sz w:val="24"/>
    </w:rPr>
  </w:style>
  <w:style w:type="character" w:customStyle="1" w:styleId="ListLabel11">
    <w:name w:val="ListLabel 11"/>
    <w:qFormat/>
    <w:rPr>
      <w:b/>
      <w:i w:val="0"/>
      <w:sz w:val="22"/>
    </w:rPr>
  </w:style>
  <w:style w:type="character" w:customStyle="1" w:styleId="ListLabel12">
    <w:name w:val="ListLabel 12"/>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13">
    <w:name w:val="ListLabel 13"/>
    <w:qFormat/>
    <w:rPr>
      <w:b/>
      <w:i w:val="0"/>
      <w:sz w:val="22"/>
    </w:rPr>
  </w:style>
  <w:style w:type="character" w:customStyle="1" w:styleId="ListLabel14">
    <w:name w:val="ListLabel 1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15">
    <w:name w:val="ListLabel 15"/>
    <w:qFormat/>
    <w:rPr>
      <w:b/>
      <w:i w:val="0"/>
      <w:sz w:val="22"/>
    </w:rPr>
  </w:style>
  <w:style w:type="character" w:customStyle="1" w:styleId="ListLabel16">
    <w:name w:val="ListLabel 16"/>
    <w:qFormat/>
    <w:rPr>
      <w:rFonts w:cs="Times New Roman"/>
      <w:i w:val="0"/>
      <w:caps w:val="0"/>
      <w:smallCaps w:val="0"/>
      <w:strike w:val="0"/>
      <w:dstrike w:val="0"/>
      <w:vanish w:val="0"/>
      <w:color w:val="000000"/>
      <w:spacing w:val="0"/>
      <w:kern w:val="0"/>
      <w:position w:val="0"/>
      <w:sz w:val="20"/>
      <w:u w:val="none"/>
      <w:vertAlign w:val="baseline"/>
      <w:em w:val="none"/>
    </w:rPr>
  </w:style>
  <w:style w:type="character" w:customStyle="1" w:styleId="ListLabel17">
    <w:name w:val="ListLabel 17"/>
    <w:qFormat/>
    <w:rPr>
      <w:b/>
      <w:i w:val="0"/>
      <w:sz w:val="22"/>
    </w:rPr>
  </w:style>
  <w:style w:type="character" w:customStyle="1" w:styleId="ListLabel18">
    <w:name w:val="ListLabel 18"/>
    <w:qFormat/>
    <w:rPr>
      <w:b/>
      <w:i w:val="0"/>
      <w:sz w:val="20"/>
    </w:rPr>
  </w:style>
  <w:style w:type="character" w:customStyle="1" w:styleId="ListLabel19">
    <w:name w:val="ListLabel 19"/>
    <w:qFormat/>
    <w:rPr>
      <w:rFonts w:cs="Times New Roman"/>
      <w:i w:val="0"/>
      <w:caps w:val="0"/>
      <w:smallCaps w:val="0"/>
      <w:strike w:val="0"/>
      <w:dstrike w:val="0"/>
      <w:vanish w:val="0"/>
      <w:color w:val="000000"/>
      <w:spacing w:val="0"/>
      <w:kern w:val="0"/>
      <w:position w:val="0"/>
      <w:sz w:val="20"/>
      <w:u w:val="none"/>
      <w:vertAlign w:val="baseline"/>
      <w:em w:val="none"/>
    </w:rPr>
  </w:style>
  <w:style w:type="character" w:customStyle="1" w:styleId="ListLabel20">
    <w:name w:val="ListLabel 20"/>
    <w:qFormat/>
    <w:rPr>
      <w:b/>
      <w:i w:val="0"/>
      <w:sz w:val="22"/>
    </w:rPr>
  </w:style>
  <w:style w:type="character" w:customStyle="1" w:styleId="ListLabel21">
    <w:name w:val="ListLabel 21"/>
    <w:qFormat/>
    <w:rPr>
      <w:b/>
      <w:i w:val="0"/>
      <w:sz w:val="20"/>
    </w:rPr>
  </w:style>
  <w:style w:type="character" w:customStyle="1" w:styleId="ListLabel22">
    <w:name w:val="ListLabel 22"/>
    <w:qFormat/>
    <w:rPr>
      <w:rFonts w:cs="Times New Roman"/>
      <w:i w:val="0"/>
      <w:caps w:val="0"/>
      <w:smallCaps w:val="0"/>
      <w:strike w:val="0"/>
      <w:dstrike w:val="0"/>
      <w:vanish w:val="0"/>
      <w:color w:val="000000"/>
      <w:spacing w:val="0"/>
      <w:kern w:val="0"/>
      <w:position w:val="0"/>
      <w:sz w:val="20"/>
      <w:u w:val="none"/>
      <w:vertAlign w:val="baseline"/>
      <w:em w:val="none"/>
    </w:rPr>
  </w:style>
  <w:style w:type="character" w:customStyle="1" w:styleId="ListLabel23">
    <w:name w:val="ListLabel 23"/>
    <w:qFormat/>
    <w:rPr>
      <w:b/>
      <w:i w:val="0"/>
      <w:sz w:val="22"/>
    </w:rPr>
  </w:style>
  <w:style w:type="character" w:customStyle="1" w:styleId="ListLabel24">
    <w:name w:val="ListLabel 24"/>
    <w:qFormat/>
    <w:rPr>
      <w:b/>
      <w:i w:val="0"/>
      <w:sz w:val="20"/>
    </w:rPr>
  </w:style>
  <w:style w:type="character" w:customStyle="1" w:styleId="ListLabel25">
    <w:name w:val="ListLabel 25"/>
    <w:qFormat/>
    <w:rPr>
      <w:rFonts w:cs="Times New Roman"/>
      <w:i w:val="0"/>
      <w:caps w:val="0"/>
      <w:smallCaps w:val="0"/>
      <w:strike w:val="0"/>
      <w:dstrike w:val="0"/>
      <w:vanish w:val="0"/>
      <w:color w:val="000000"/>
      <w:spacing w:val="0"/>
      <w:kern w:val="0"/>
      <w:position w:val="0"/>
      <w:sz w:val="20"/>
      <w:u w:val="none"/>
      <w:vertAlign w:val="baseline"/>
      <w:em w:val="none"/>
    </w:rPr>
  </w:style>
  <w:style w:type="character" w:customStyle="1" w:styleId="ListLabel26">
    <w:name w:val="ListLabel 26"/>
    <w:qFormat/>
    <w:rPr>
      <w:b/>
      <w:i w:val="0"/>
      <w:sz w:val="22"/>
    </w:rPr>
  </w:style>
  <w:style w:type="character" w:customStyle="1" w:styleId="ListLabel27">
    <w:name w:val="ListLabel 27"/>
    <w:qFormat/>
    <w:rPr>
      <w:b/>
      <w:i w:val="0"/>
      <w:sz w:val="20"/>
    </w:rPr>
  </w:style>
  <w:style w:type="character" w:customStyle="1" w:styleId="ListLabel28">
    <w:name w:val="ListLabel 28"/>
    <w:qFormat/>
    <w:rPr>
      <w:rFonts w:cs="Times New Roman"/>
      <w:i w:val="0"/>
      <w:caps w:val="0"/>
      <w:smallCaps w:val="0"/>
      <w:strike w:val="0"/>
      <w:dstrike w:val="0"/>
      <w:vanish w:val="0"/>
      <w:color w:val="000000"/>
      <w:spacing w:val="0"/>
      <w:kern w:val="0"/>
      <w:position w:val="0"/>
      <w:sz w:val="20"/>
      <w:u w:val="none"/>
      <w:vertAlign w:val="baseline"/>
      <w:em w:val="none"/>
    </w:rPr>
  </w:style>
  <w:style w:type="character" w:customStyle="1" w:styleId="ListLabel29">
    <w:name w:val="ListLabel 29"/>
    <w:qFormat/>
    <w:rPr>
      <w:b/>
      <w:i w:val="0"/>
      <w:sz w:val="22"/>
    </w:rPr>
  </w:style>
  <w:style w:type="character" w:customStyle="1" w:styleId="ListLabel30">
    <w:name w:val="ListLabel 30"/>
    <w:qFormat/>
    <w:rPr>
      <w:b/>
      <w:i w:val="0"/>
      <w:sz w:val="20"/>
    </w:rPr>
  </w:style>
  <w:style w:type="character" w:customStyle="1" w:styleId="ListLabel31">
    <w:name w:val="ListLabel 31"/>
    <w:qFormat/>
    <w:rPr>
      <w:rFonts w:cs="Times New Roman"/>
      <w:i w:val="0"/>
      <w:caps w:val="0"/>
      <w:smallCaps w:val="0"/>
      <w:strike w:val="0"/>
      <w:dstrike w:val="0"/>
      <w:vanish w:val="0"/>
      <w:color w:val="000000"/>
      <w:spacing w:val="0"/>
      <w:kern w:val="0"/>
      <w:position w:val="0"/>
      <w:sz w:val="20"/>
      <w:u w:val="none"/>
      <w:vertAlign w:val="baseline"/>
      <w:em w:val="none"/>
    </w:rPr>
  </w:style>
  <w:style w:type="character" w:customStyle="1" w:styleId="ListLabel32">
    <w:name w:val="ListLabel 32"/>
    <w:qFormat/>
    <w:rPr>
      <w:b/>
      <w:i w:val="0"/>
      <w:sz w:val="22"/>
    </w:rPr>
  </w:style>
  <w:style w:type="character" w:customStyle="1" w:styleId="ListLabel33">
    <w:name w:val="ListLabel 33"/>
    <w:qFormat/>
    <w:rPr>
      <w:b/>
      <w:i w:val="0"/>
      <w:sz w:val="20"/>
    </w:rPr>
  </w:style>
  <w:style w:type="character" w:customStyle="1" w:styleId="ListLabel34">
    <w:name w:val="ListLabel 34"/>
    <w:qFormat/>
    <w:rPr>
      <w:rFonts w:cs="Times New Roman"/>
      <w:i w:val="0"/>
      <w:caps w:val="0"/>
      <w:smallCaps w:val="0"/>
      <w:strike w:val="0"/>
      <w:dstrike w:val="0"/>
      <w:vanish w:val="0"/>
      <w:color w:val="000000"/>
      <w:spacing w:val="0"/>
      <w:kern w:val="0"/>
      <w:position w:val="0"/>
      <w:sz w:val="20"/>
      <w:u w:val="none"/>
      <w:vertAlign w:val="baseline"/>
      <w:em w:val="none"/>
    </w:rPr>
  </w:style>
  <w:style w:type="character" w:customStyle="1" w:styleId="ListLabel35">
    <w:name w:val="ListLabel 35"/>
    <w:qFormat/>
    <w:rPr>
      <w:b/>
      <w:i w:val="0"/>
      <w:sz w:val="22"/>
    </w:rPr>
  </w:style>
  <w:style w:type="character" w:customStyle="1" w:styleId="ListLabel36">
    <w:name w:val="ListLabel 36"/>
    <w:qFormat/>
    <w:rPr>
      <w:b/>
      <w:i w:val="0"/>
      <w:sz w:val="20"/>
    </w:rPr>
  </w:style>
  <w:style w:type="character" w:customStyle="1" w:styleId="ListLabel37">
    <w:name w:val="ListLabel 37"/>
    <w:qFormat/>
    <w:rPr>
      <w:rFonts w:cs="Times New Roman"/>
      <w:i w:val="0"/>
      <w:caps w:val="0"/>
      <w:smallCaps w:val="0"/>
      <w:strike w:val="0"/>
      <w:dstrike w:val="0"/>
      <w:vanish w:val="0"/>
      <w:color w:val="000000"/>
      <w:spacing w:val="0"/>
      <w:kern w:val="0"/>
      <w:position w:val="0"/>
      <w:sz w:val="20"/>
      <w:u w:val="none"/>
      <w:vertAlign w:val="baseline"/>
      <w:em w:val="none"/>
    </w:rPr>
  </w:style>
  <w:style w:type="character" w:customStyle="1" w:styleId="ListLabel38">
    <w:name w:val="ListLabel 38"/>
    <w:qFormat/>
    <w:rPr>
      <w:b/>
      <w:i w:val="0"/>
      <w:sz w:val="22"/>
    </w:rPr>
  </w:style>
  <w:style w:type="character" w:customStyle="1" w:styleId="ListLabel39">
    <w:name w:val="ListLabel 39"/>
    <w:qFormat/>
    <w:rPr>
      <w:b/>
      <w:i w:val="0"/>
      <w:sz w:val="20"/>
    </w:rPr>
  </w:style>
  <w:style w:type="character" w:customStyle="1" w:styleId="ListLabel40">
    <w:name w:val="ListLabel 40"/>
    <w:qFormat/>
    <w:rPr>
      <w:rFonts w:cs="Times New Roman"/>
      <w:i w:val="0"/>
      <w:caps w:val="0"/>
      <w:smallCaps w:val="0"/>
      <w:strike w:val="0"/>
      <w:dstrike w:val="0"/>
      <w:vanish w:val="0"/>
      <w:color w:val="000000"/>
      <w:spacing w:val="0"/>
      <w:kern w:val="0"/>
      <w:position w:val="0"/>
      <w:sz w:val="20"/>
      <w:u w:val="none"/>
      <w:vertAlign w:val="baseline"/>
      <w:em w:val="none"/>
    </w:rPr>
  </w:style>
  <w:style w:type="character" w:customStyle="1" w:styleId="ListLabel41">
    <w:name w:val="ListLabel 41"/>
    <w:qFormat/>
    <w:rPr>
      <w:b/>
      <w:i w:val="0"/>
      <w:sz w:val="22"/>
    </w:rPr>
  </w:style>
  <w:style w:type="character" w:customStyle="1" w:styleId="ListLabel42">
    <w:name w:val="ListLabel 42"/>
    <w:qFormat/>
    <w:rPr>
      <w:b/>
      <w:i w:val="0"/>
      <w:sz w:val="20"/>
    </w:rPr>
  </w:style>
  <w:style w:type="paragraph" w:styleId="Titre">
    <w:name w:val="Title"/>
    <w:basedOn w:val="Normal"/>
    <w:next w:val="Corpsdetexte"/>
    <w:link w:val="TitreCar"/>
    <w:uiPriority w:val="10"/>
    <w:qFormat/>
    <w:rsid w:val="007A1427"/>
    <w:pPr>
      <w:spacing w:after="240"/>
      <w:jc w:val="left"/>
      <w:outlineLvl w:val="0"/>
    </w:pPr>
    <w:rPr>
      <w:b/>
      <w:bCs/>
      <w:kern w:val="2"/>
      <w:sz w:val="32"/>
      <w:szCs w:val="32"/>
    </w:rPr>
  </w:style>
  <w:style w:type="paragraph" w:styleId="Corpsdetexte">
    <w:name w:val="Body Text"/>
    <w:basedOn w:val="Normal"/>
    <w:semiHidden/>
    <w:rPr>
      <w:rFonts w:cs="Arial"/>
      <w:lang w:val="en-US"/>
    </w:rPr>
  </w:style>
  <w:style w:type="paragraph" w:styleId="Liste">
    <w:name w:val="List"/>
    <w:basedOn w:val="Corpsdetexte"/>
    <w:rPr>
      <w:rFonts w:cs="Lohit Devanagari"/>
    </w:rPr>
  </w:style>
  <w:style w:type="paragraph" w:styleId="Lgende">
    <w:name w:val="caption"/>
    <w:basedOn w:val="Normal"/>
    <w:next w:val="Normal"/>
    <w:uiPriority w:val="35"/>
    <w:unhideWhenUsed/>
    <w:qFormat/>
    <w:rsid w:val="00835392"/>
    <w:pPr>
      <w:jc w:val="center"/>
    </w:pPr>
    <w:rPr>
      <w:b/>
      <w:bCs/>
      <w:i/>
      <w:sz w:val="16"/>
      <w:szCs w:val="20"/>
    </w:rPr>
  </w:style>
  <w:style w:type="paragraph" w:customStyle="1" w:styleId="Index">
    <w:name w:val="Index"/>
    <w:basedOn w:val="Normal"/>
    <w:qFormat/>
    <w:pPr>
      <w:suppressLineNumbers/>
    </w:pPr>
    <w:rPr>
      <w:rFonts w:cs="Lohit Devanagari"/>
    </w:rPr>
  </w:style>
  <w:style w:type="paragraph" w:styleId="Textedebulles">
    <w:name w:val="Balloon Text"/>
    <w:basedOn w:val="Normal"/>
    <w:semiHidden/>
    <w:unhideWhenUsed/>
    <w:qFormat/>
    <w:rPr>
      <w:rFonts w:ascii="Tahoma" w:hAnsi="Tahoma" w:cs="Tahoma"/>
      <w:sz w:val="16"/>
      <w:szCs w:val="16"/>
    </w:rPr>
  </w:style>
  <w:style w:type="paragraph" w:customStyle="1" w:styleId="Authors">
    <w:name w:val="Authors"/>
    <w:basedOn w:val="Normal"/>
    <w:qFormat/>
    <w:rsid w:val="007A1427"/>
    <w:pPr>
      <w:spacing w:after="240"/>
      <w:jc w:val="left"/>
    </w:pPr>
    <w:rPr>
      <w:rFonts w:cs="Arial"/>
      <w:sz w:val="24"/>
    </w:rPr>
  </w:style>
  <w:style w:type="paragraph" w:customStyle="1" w:styleId="Affiliation">
    <w:name w:val="Affiliation"/>
    <w:basedOn w:val="Normal"/>
    <w:qFormat/>
    <w:rsid w:val="007A1427"/>
    <w:pPr>
      <w:spacing w:after="0"/>
      <w:jc w:val="left"/>
    </w:pPr>
    <w:rPr>
      <w:rFonts w:cs="Arial"/>
      <w:i/>
    </w:rPr>
  </w:style>
  <w:style w:type="paragraph" w:styleId="Paragraphedeliste">
    <w:name w:val="List Paragraph"/>
    <w:basedOn w:val="Normal"/>
    <w:uiPriority w:val="34"/>
    <w:qFormat/>
    <w:rsid w:val="007D21B0"/>
    <w:pPr>
      <w:ind w:left="720"/>
    </w:pPr>
  </w:style>
  <w:style w:type="paragraph" w:customStyle="1" w:styleId="References">
    <w:name w:val="References"/>
    <w:basedOn w:val="Normal"/>
    <w:qFormat/>
    <w:rsid w:val="00224340"/>
    <w:pPr>
      <w:tabs>
        <w:tab w:val="left" w:pos="1134"/>
      </w:tabs>
      <w:spacing w:after="0"/>
      <w:ind w:left="720" w:hanging="720"/>
    </w:pPr>
  </w:style>
  <w:style w:type="paragraph" w:styleId="Sous-titre">
    <w:name w:val="Subtitle"/>
    <w:basedOn w:val="Normal"/>
    <w:next w:val="Normal"/>
    <w:uiPriority w:val="11"/>
    <w:qFormat/>
    <w:rsid w:val="007A1427"/>
    <w:pPr>
      <w:spacing w:after="60"/>
      <w:jc w:val="left"/>
      <w:outlineLvl w:val="1"/>
    </w:pPr>
    <w:rPr>
      <w:rFonts w:ascii="Cambria" w:hAnsi="Cambria"/>
      <w:b/>
      <w:sz w:val="24"/>
    </w:rPr>
  </w:style>
  <w:style w:type="paragraph" w:styleId="Commentaire">
    <w:name w:val="annotation text"/>
    <w:basedOn w:val="Normal"/>
    <w:link w:val="CommentaireCar"/>
    <w:uiPriority w:val="99"/>
    <w:semiHidden/>
    <w:unhideWhenUsed/>
    <w:qFormat/>
    <w:rsid w:val="00355271"/>
    <w:rPr>
      <w:szCs w:val="20"/>
    </w:rPr>
  </w:style>
  <w:style w:type="paragraph" w:styleId="Objetducommentaire">
    <w:name w:val="annotation subject"/>
    <w:basedOn w:val="Commentaire"/>
    <w:next w:val="Commentaire"/>
    <w:link w:val="ObjetducommentaireCar"/>
    <w:uiPriority w:val="99"/>
    <w:semiHidden/>
    <w:unhideWhenUsed/>
    <w:qFormat/>
    <w:rsid w:val="00355271"/>
    <w:rPr>
      <w:b/>
      <w:bCs/>
    </w:rPr>
  </w:style>
  <w:style w:type="paragraph" w:styleId="NormalWeb">
    <w:name w:val="Normal (Web)"/>
    <w:basedOn w:val="Normal"/>
    <w:uiPriority w:val="99"/>
    <w:semiHidden/>
    <w:unhideWhenUsed/>
    <w:qFormat/>
    <w:rsid w:val="0061510E"/>
    <w:pPr>
      <w:spacing w:beforeAutospacing="1" w:afterAutospacing="1"/>
      <w:jc w:val="left"/>
    </w:pPr>
    <w:rPr>
      <w:rFonts w:ascii="Times New Roman" w:hAnsi="Times New Roman"/>
      <w:sz w:val="24"/>
      <w:lang w:eastAsia="en-GB"/>
    </w:rPr>
  </w:style>
  <w:style w:type="table" w:styleId="Grilledutableau">
    <w:name w:val="Table Grid"/>
    <w:basedOn w:val="TableauNormal"/>
    <w:uiPriority w:val="59"/>
    <w:rsid w:val="007D2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800" b="0" strike="noStrike" spc="-1">
                <a:solidFill>
                  <a:srgbClr val="000000"/>
                </a:solidFill>
                <a:latin typeface="Times New Roman"/>
              </a:defRPr>
            </a:pPr>
            <a:r>
              <a:rPr lang="en-US" sz="800" b="0" strike="noStrike" spc="-1">
                <a:solidFill>
                  <a:srgbClr val="000000"/>
                </a:solidFill>
                <a:latin typeface="Times New Roman"/>
              </a:rPr>
              <a:t>Emulsion, GDL= 20 mg/mL</a:t>
            </a:r>
          </a:p>
        </c:rich>
      </c:tx>
      <c:layout>
        <c:manualLayout>
          <c:xMode val="edge"/>
          <c:yMode val="edge"/>
          <c:x val="0.30786746187047664"/>
          <c:y val="0.12873025160912815"/>
        </c:manualLayout>
      </c:layout>
      <c:overlay val="0"/>
      <c:spPr>
        <a:noFill/>
        <a:ln>
          <a:noFill/>
        </a:ln>
      </c:spPr>
    </c:title>
    <c:autoTitleDeleted val="0"/>
    <c:plotArea>
      <c:layout/>
      <c:scatterChart>
        <c:scatterStyle val="lineMarker"/>
        <c:varyColors val="0"/>
        <c:ser>
          <c:idx val="0"/>
          <c:order val="0"/>
          <c:tx>
            <c:strRef>
              <c:f>label 0</c:f>
              <c:strCache>
                <c:ptCount val="1"/>
                <c:pt idx="0">
                  <c:v>G'</c:v>
                </c:pt>
              </c:strCache>
            </c:strRef>
          </c:tx>
          <c:spPr>
            <a:ln w="25560">
              <a:noFill/>
            </a:ln>
          </c:spPr>
          <c:marker>
            <c:symbol val="circle"/>
            <c:size val="5"/>
            <c:spPr>
              <a:solidFill>
                <a:srgbClr val="4F81BD"/>
              </a:solidFill>
            </c:spPr>
          </c:marker>
          <c:dLbls>
            <c:spPr>
              <a:noFill/>
              <a:ln>
                <a:noFill/>
              </a:ln>
              <a:effectLst/>
            </c:spPr>
            <c:txPr>
              <a:bodyPr/>
              <a:lstStyle/>
              <a:p>
                <a:pPr>
                  <a:defRPr sz="1000" b="0" strike="noStrike" spc="-1">
                    <a:solidFill>
                      <a:srgbClr val="000000"/>
                    </a:solidFill>
                    <a:latin typeface="Cambria"/>
                  </a:defRPr>
                </a:pPr>
                <a:endParaRPr lang="en-US"/>
              </a:p>
            </c:tx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xVal>
            <c:numRef>
              <c:f>1</c:f>
              <c:numCache>
                <c:formatCode>General</c:formatCode>
                <c:ptCount val="41"/>
                <c:pt idx="0">
                  <c:v>628</c:v>
                </c:pt>
                <c:pt idx="1">
                  <c:v>498.8</c:v>
                </c:pt>
                <c:pt idx="2">
                  <c:v>396.2</c:v>
                </c:pt>
                <c:pt idx="3">
                  <c:v>314.7</c:v>
                </c:pt>
                <c:pt idx="4">
                  <c:v>250</c:v>
                </c:pt>
                <c:pt idx="5">
                  <c:v>198.6</c:v>
                </c:pt>
                <c:pt idx="6">
                  <c:v>157.69999999999999</c:v>
                </c:pt>
                <c:pt idx="7">
                  <c:v>125.3</c:v>
                </c:pt>
                <c:pt idx="8">
                  <c:v>99.53</c:v>
                </c:pt>
                <c:pt idx="9">
                  <c:v>79.06</c:v>
                </c:pt>
                <c:pt idx="10">
                  <c:v>62.8</c:v>
                </c:pt>
                <c:pt idx="11">
                  <c:v>49.88</c:v>
                </c:pt>
                <c:pt idx="12">
                  <c:v>39.619999999999997</c:v>
                </c:pt>
                <c:pt idx="13">
                  <c:v>31.47</c:v>
                </c:pt>
                <c:pt idx="14">
                  <c:v>25</c:v>
                </c:pt>
                <c:pt idx="15">
                  <c:v>19.86</c:v>
                </c:pt>
                <c:pt idx="16">
                  <c:v>15.77</c:v>
                </c:pt>
                <c:pt idx="17">
                  <c:v>12.53</c:v>
                </c:pt>
                <c:pt idx="18">
                  <c:v>9.9529999999999994</c:v>
                </c:pt>
                <c:pt idx="19">
                  <c:v>7.9059999999999997</c:v>
                </c:pt>
                <c:pt idx="20">
                  <c:v>6.28</c:v>
                </c:pt>
                <c:pt idx="21">
                  <c:v>4.9880000000000004</c:v>
                </c:pt>
                <c:pt idx="22">
                  <c:v>3.9620000000000002</c:v>
                </c:pt>
                <c:pt idx="23">
                  <c:v>3.1469999999999998</c:v>
                </c:pt>
                <c:pt idx="24">
                  <c:v>2.5</c:v>
                </c:pt>
                <c:pt idx="25">
                  <c:v>1.986</c:v>
                </c:pt>
                <c:pt idx="26">
                  <c:v>1.577</c:v>
                </c:pt>
                <c:pt idx="27">
                  <c:v>1.2529999999999999</c:v>
                </c:pt>
                <c:pt idx="28">
                  <c:v>0.99529999999999996</c:v>
                </c:pt>
                <c:pt idx="29">
                  <c:v>0.79059999999999997</c:v>
                </c:pt>
                <c:pt idx="30">
                  <c:v>0.628</c:v>
                </c:pt>
                <c:pt idx="31">
                  <c:v>0.49880000000000002</c:v>
                </c:pt>
                <c:pt idx="32">
                  <c:v>0.3962</c:v>
                </c:pt>
                <c:pt idx="33">
                  <c:v>0.31469999999999998</c:v>
                </c:pt>
                <c:pt idx="34">
                  <c:v>0.25</c:v>
                </c:pt>
                <c:pt idx="35">
                  <c:v>0.1986</c:v>
                </c:pt>
                <c:pt idx="36">
                  <c:v>0.15770000000000001</c:v>
                </c:pt>
                <c:pt idx="37">
                  <c:v>0.12529999999999999</c:v>
                </c:pt>
                <c:pt idx="38">
                  <c:v>9.9529999999999993E-2</c:v>
                </c:pt>
                <c:pt idx="39">
                  <c:v>7.9060000000000005E-2</c:v>
                </c:pt>
                <c:pt idx="40">
                  <c:v>6.2799999999999995E-2</c:v>
                </c:pt>
              </c:numCache>
            </c:numRef>
          </c:xVal>
          <c:yVal>
            <c:numRef>
              <c:f>0</c:f>
              <c:numCache>
                <c:formatCode>General</c:formatCode>
                <c:ptCount val="41"/>
                <c:pt idx="0">
                  <c:v>16340</c:v>
                </c:pt>
                <c:pt idx="1">
                  <c:v>16240</c:v>
                </c:pt>
                <c:pt idx="2">
                  <c:v>16050</c:v>
                </c:pt>
                <c:pt idx="3">
                  <c:v>15770</c:v>
                </c:pt>
                <c:pt idx="4">
                  <c:v>15470</c:v>
                </c:pt>
                <c:pt idx="5">
                  <c:v>15150</c:v>
                </c:pt>
                <c:pt idx="6">
                  <c:v>14820</c:v>
                </c:pt>
                <c:pt idx="7">
                  <c:v>14490</c:v>
                </c:pt>
                <c:pt idx="8">
                  <c:v>14140</c:v>
                </c:pt>
                <c:pt idx="9">
                  <c:v>13840</c:v>
                </c:pt>
                <c:pt idx="10">
                  <c:v>13540</c:v>
                </c:pt>
                <c:pt idx="11">
                  <c:v>13250</c:v>
                </c:pt>
                <c:pt idx="12">
                  <c:v>12960</c:v>
                </c:pt>
                <c:pt idx="13">
                  <c:v>12680</c:v>
                </c:pt>
                <c:pt idx="14">
                  <c:v>12410</c:v>
                </c:pt>
                <c:pt idx="15">
                  <c:v>12150</c:v>
                </c:pt>
                <c:pt idx="16">
                  <c:v>11900</c:v>
                </c:pt>
                <c:pt idx="17">
                  <c:v>11650</c:v>
                </c:pt>
                <c:pt idx="18">
                  <c:v>11400</c:v>
                </c:pt>
                <c:pt idx="19">
                  <c:v>11180</c:v>
                </c:pt>
                <c:pt idx="20">
                  <c:v>10950</c:v>
                </c:pt>
                <c:pt idx="21">
                  <c:v>10740</c:v>
                </c:pt>
                <c:pt idx="22">
                  <c:v>10530</c:v>
                </c:pt>
                <c:pt idx="23">
                  <c:v>10290</c:v>
                </c:pt>
                <c:pt idx="24">
                  <c:v>10100</c:v>
                </c:pt>
                <c:pt idx="25">
                  <c:v>9916</c:v>
                </c:pt>
                <c:pt idx="26">
                  <c:v>9751</c:v>
                </c:pt>
                <c:pt idx="27">
                  <c:v>9528</c:v>
                </c:pt>
                <c:pt idx="28">
                  <c:v>9322</c:v>
                </c:pt>
                <c:pt idx="29">
                  <c:v>9037</c:v>
                </c:pt>
                <c:pt idx="30">
                  <c:v>8863</c:v>
                </c:pt>
                <c:pt idx="31">
                  <c:v>8776</c:v>
                </c:pt>
                <c:pt idx="32">
                  <c:v>8580</c:v>
                </c:pt>
                <c:pt idx="33">
                  <c:v>8463</c:v>
                </c:pt>
                <c:pt idx="34">
                  <c:v>8140</c:v>
                </c:pt>
                <c:pt idx="35">
                  <c:v>7959</c:v>
                </c:pt>
                <c:pt idx="36">
                  <c:v>7749</c:v>
                </c:pt>
                <c:pt idx="37">
                  <c:v>7642</c:v>
                </c:pt>
                <c:pt idx="38">
                  <c:v>7429</c:v>
                </c:pt>
                <c:pt idx="39">
                  <c:v>7228</c:v>
                </c:pt>
                <c:pt idx="40">
                  <c:v>7027</c:v>
                </c:pt>
              </c:numCache>
            </c:numRef>
          </c:yVal>
          <c:smooth val="0"/>
          <c:extLst>
            <c:ext xmlns:c16="http://schemas.microsoft.com/office/drawing/2014/chart" uri="{C3380CC4-5D6E-409C-BE32-E72D297353CC}">
              <c16:uniqueId val="{00000000-F441-4F13-A9EC-BF2B6F508988}"/>
            </c:ext>
          </c:extLst>
        </c:ser>
        <c:ser>
          <c:idx val="1"/>
          <c:order val="1"/>
          <c:tx>
            <c:strRef>
              <c:f>label 2</c:f>
              <c:strCache>
                <c:ptCount val="1"/>
                <c:pt idx="0">
                  <c:v>G''</c:v>
                </c:pt>
              </c:strCache>
            </c:strRef>
          </c:tx>
          <c:spPr>
            <a:ln w="25560">
              <a:noFill/>
            </a:ln>
          </c:spPr>
          <c:marker>
            <c:symbol val="x"/>
            <c:size val="4"/>
            <c:spPr>
              <a:solidFill>
                <a:srgbClr val="C0504D"/>
              </a:solidFill>
            </c:spPr>
          </c:marker>
          <c:dLbls>
            <c:spPr>
              <a:noFill/>
              <a:ln>
                <a:noFill/>
              </a:ln>
              <a:effectLst/>
            </c:spPr>
            <c:txPr>
              <a:bodyPr/>
              <a:lstStyle/>
              <a:p>
                <a:pPr>
                  <a:defRPr sz="1000" b="0" strike="noStrike" spc="-1">
                    <a:solidFill>
                      <a:srgbClr val="000000"/>
                    </a:solidFill>
                    <a:latin typeface="Cambria"/>
                  </a:defRPr>
                </a:pPr>
                <a:endParaRPr lang="en-US"/>
              </a:p>
            </c:tx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xVal>
            <c:numRef>
              <c:f>3</c:f>
              <c:numCache>
                <c:formatCode>General</c:formatCode>
                <c:ptCount val="41"/>
                <c:pt idx="0">
                  <c:v>628</c:v>
                </c:pt>
                <c:pt idx="1">
                  <c:v>498.8</c:v>
                </c:pt>
                <c:pt idx="2">
                  <c:v>396.2</c:v>
                </c:pt>
                <c:pt idx="3">
                  <c:v>314.7</c:v>
                </c:pt>
                <c:pt idx="4">
                  <c:v>250</c:v>
                </c:pt>
                <c:pt idx="5">
                  <c:v>198.6</c:v>
                </c:pt>
                <c:pt idx="6">
                  <c:v>157.69999999999999</c:v>
                </c:pt>
                <c:pt idx="7">
                  <c:v>125.3</c:v>
                </c:pt>
                <c:pt idx="8">
                  <c:v>99.53</c:v>
                </c:pt>
                <c:pt idx="9">
                  <c:v>79.06</c:v>
                </c:pt>
                <c:pt idx="10">
                  <c:v>62.8</c:v>
                </c:pt>
                <c:pt idx="11">
                  <c:v>49.88</c:v>
                </c:pt>
                <c:pt idx="12">
                  <c:v>39.619999999999997</c:v>
                </c:pt>
                <c:pt idx="13">
                  <c:v>31.47</c:v>
                </c:pt>
                <c:pt idx="14">
                  <c:v>25</c:v>
                </c:pt>
                <c:pt idx="15">
                  <c:v>19.86</c:v>
                </c:pt>
                <c:pt idx="16">
                  <c:v>15.77</c:v>
                </c:pt>
                <c:pt idx="17">
                  <c:v>12.53</c:v>
                </c:pt>
                <c:pt idx="18">
                  <c:v>9.9529999999999994</c:v>
                </c:pt>
                <c:pt idx="19">
                  <c:v>7.9059999999999997</c:v>
                </c:pt>
                <c:pt idx="20">
                  <c:v>6.28</c:v>
                </c:pt>
                <c:pt idx="21">
                  <c:v>4.9880000000000004</c:v>
                </c:pt>
                <c:pt idx="22">
                  <c:v>3.9620000000000002</c:v>
                </c:pt>
                <c:pt idx="23">
                  <c:v>3.1469999999999998</c:v>
                </c:pt>
                <c:pt idx="24">
                  <c:v>2.5</c:v>
                </c:pt>
                <c:pt idx="25">
                  <c:v>1.986</c:v>
                </c:pt>
                <c:pt idx="26">
                  <c:v>1.577</c:v>
                </c:pt>
                <c:pt idx="27">
                  <c:v>1.2529999999999999</c:v>
                </c:pt>
                <c:pt idx="28">
                  <c:v>0.99529999999999996</c:v>
                </c:pt>
                <c:pt idx="29">
                  <c:v>0.79059999999999997</c:v>
                </c:pt>
                <c:pt idx="30">
                  <c:v>0.628</c:v>
                </c:pt>
                <c:pt idx="31">
                  <c:v>0.49880000000000002</c:v>
                </c:pt>
                <c:pt idx="32">
                  <c:v>0.3962</c:v>
                </c:pt>
                <c:pt idx="33">
                  <c:v>0.31469999999999998</c:v>
                </c:pt>
                <c:pt idx="34">
                  <c:v>0.25</c:v>
                </c:pt>
                <c:pt idx="35">
                  <c:v>0.1986</c:v>
                </c:pt>
                <c:pt idx="36">
                  <c:v>0.15770000000000001</c:v>
                </c:pt>
                <c:pt idx="37">
                  <c:v>0.12529999999999999</c:v>
                </c:pt>
                <c:pt idx="38">
                  <c:v>9.9529999999999993E-2</c:v>
                </c:pt>
                <c:pt idx="39">
                  <c:v>7.9060000000000005E-2</c:v>
                </c:pt>
                <c:pt idx="40">
                  <c:v>6.2799999999999995E-2</c:v>
                </c:pt>
              </c:numCache>
            </c:numRef>
          </c:xVal>
          <c:yVal>
            <c:numRef>
              <c:f>2</c:f>
              <c:numCache>
                <c:formatCode>General</c:formatCode>
                <c:ptCount val="41"/>
                <c:pt idx="0">
                  <c:v>3101</c:v>
                </c:pt>
                <c:pt idx="1">
                  <c:v>3075</c:v>
                </c:pt>
                <c:pt idx="2">
                  <c:v>2946</c:v>
                </c:pt>
                <c:pt idx="3">
                  <c:v>2831</c:v>
                </c:pt>
                <c:pt idx="4">
                  <c:v>2709</c:v>
                </c:pt>
                <c:pt idx="5">
                  <c:v>2608</c:v>
                </c:pt>
                <c:pt idx="6">
                  <c:v>2499</c:v>
                </c:pt>
                <c:pt idx="7">
                  <c:v>2417</c:v>
                </c:pt>
                <c:pt idx="8">
                  <c:v>2335</c:v>
                </c:pt>
                <c:pt idx="9">
                  <c:v>2250</c:v>
                </c:pt>
                <c:pt idx="10">
                  <c:v>2168</c:v>
                </c:pt>
                <c:pt idx="11">
                  <c:v>2090</c:v>
                </c:pt>
                <c:pt idx="12">
                  <c:v>2018</c:v>
                </c:pt>
                <c:pt idx="13">
                  <c:v>1944</c:v>
                </c:pt>
                <c:pt idx="14">
                  <c:v>1883</c:v>
                </c:pt>
                <c:pt idx="15">
                  <c:v>1824</c:v>
                </c:pt>
                <c:pt idx="16">
                  <c:v>1762</c:v>
                </c:pt>
                <c:pt idx="17">
                  <c:v>1712</c:v>
                </c:pt>
                <c:pt idx="18">
                  <c:v>1667</c:v>
                </c:pt>
                <c:pt idx="19">
                  <c:v>1619</c:v>
                </c:pt>
                <c:pt idx="20">
                  <c:v>1575</c:v>
                </c:pt>
                <c:pt idx="21">
                  <c:v>1523</c:v>
                </c:pt>
                <c:pt idx="22">
                  <c:v>1492</c:v>
                </c:pt>
                <c:pt idx="23">
                  <c:v>1451</c:v>
                </c:pt>
                <c:pt idx="24">
                  <c:v>1449</c:v>
                </c:pt>
                <c:pt idx="25">
                  <c:v>1411</c:v>
                </c:pt>
                <c:pt idx="26">
                  <c:v>1395</c:v>
                </c:pt>
                <c:pt idx="27">
                  <c:v>1391</c:v>
                </c:pt>
                <c:pt idx="28">
                  <c:v>1340</c:v>
                </c:pt>
                <c:pt idx="29">
                  <c:v>1343</c:v>
                </c:pt>
                <c:pt idx="30">
                  <c:v>1254</c:v>
                </c:pt>
                <c:pt idx="31">
                  <c:v>1317</c:v>
                </c:pt>
                <c:pt idx="32">
                  <c:v>1384</c:v>
                </c:pt>
                <c:pt idx="33">
                  <c:v>1046</c:v>
                </c:pt>
                <c:pt idx="34">
                  <c:v>1271</c:v>
                </c:pt>
                <c:pt idx="35">
                  <c:v>1570</c:v>
                </c:pt>
                <c:pt idx="36">
                  <c:v>1427</c:v>
                </c:pt>
                <c:pt idx="37">
                  <c:v>1267</c:v>
                </c:pt>
                <c:pt idx="38">
                  <c:v>1143</c:v>
                </c:pt>
                <c:pt idx="39">
                  <c:v>1304</c:v>
                </c:pt>
                <c:pt idx="40">
                  <c:v>1261</c:v>
                </c:pt>
              </c:numCache>
            </c:numRef>
          </c:yVal>
          <c:smooth val="0"/>
          <c:extLst>
            <c:ext xmlns:c16="http://schemas.microsoft.com/office/drawing/2014/chart" uri="{C3380CC4-5D6E-409C-BE32-E72D297353CC}">
              <c16:uniqueId val="{00000001-F441-4F13-A9EC-BF2B6F508988}"/>
            </c:ext>
          </c:extLst>
        </c:ser>
        <c:dLbls>
          <c:showLegendKey val="0"/>
          <c:showVal val="0"/>
          <c:showCatName val="0"/>
          <c:showSerName val="0"/>
          <c:showPercent val="0"/>
          <c:showBubbleSize val="0"/>
        </c:dLbls>
        <c:axId val="46891544"/>
        <c:axId val="95896080"/>
      </c:scatterChart>
      <c:valAx>
        <c:axId val="46891544"/>
        <c:scaling>
          <c:orientation val="minMax"/>
        </c:scaling>
        <c:delete val="0"/>
        <c:axPos val="b"/>
        <c:title>
          <c:tx>
            <c:rich>
              <a:bodyPr rot="0"/>
              <a:lstStyle/>
              <a:p>
                <a:pPr>
                  <a:defRPr sz="1000" b="0" strike="noStrike" spc="-1">
                    <a:solidFill>
                      <a:srgbClr val="000000"/>
                    </a:solidFill>
                    <a:latin typeface="Times New Roman"/>
                  </a:defRPr>
                </a:pPr>
                <a:r>
                  <a:rPr lang="el-GR" sz="1000" b="0" strike="noStrike" spc="-1">
                    <a:solidFill>
                      <a:srgbClr val="000000"/>
                    </a:solidFill>
                    <a:latin typeface="Times New Roman"/>
                  </a:rPr>
                  <a:t>ω (</a:t>
                </a:r>
                <a:r>
                  <a:rPr lang="en-US" sz="1000" b="0" strike="noStrike" spc="-1">
                    <a:solidFill>
                      <a:srgbClr val="000000"/>
                    </a:solidFill>
                    <a:latin typeface="Times New Roman"/>
                  </a:rPr>
                  <a:t>rad/s)</a:t>
                </a:r>
              </a:p>
            </c:rich>
          </c:tx>
          <c:layout/>
          <c:overlay val="0"/>
          <c:spPr>
            <a:noFill/>
            <a:ln>
              <a:noFill/>
            </a:ln>
          </c:spPr>
        </c:title>
        <c:numFmt formatCode="General" sourceLinked="0"/>
        <c:majorTickMark val="in"/>
        <c:minorTickMark val="none"/>
        <c:tickLblPos val="nextTo"/>
        <c:spPr>
          <a:ln w="12600">
            <a:solidFill>
              <a:srgbClr val="000000"/>
            </a:solidFill>
            <a:round/>
          </a:ln>
        </c:spPr>
        <c:txPr>
          <a:bodyPr/>
          <a:lstStyle/>
          <a:p>
            <a:pPr>
              <a:defRPr sz="800" b="0" strike="noStrike" spc="-1">
                <a:solidFill>
                  <a:srgbClr val="000000"/>
                </a:solidFill>
                <a:latin typeface="Cambria"/>
              </a:defRPr>
            </a:pPr>
            <a:endParaRPr lang="en-US"/>
          </a:p>
        </c:txPr>
        <c:crossAx val="95896080"/>
        <c:crosses val="autoZero"/>
        <c:crossBetween val="midCat"/>
      </c:valAx>
      <c:valAx>
        <c:axId val="95896080"/>
        <c:scaling>
          <c:logBase val="10"/>
          <c:orientation val="minMax"/>
        </c:scaling>
        <c:delete val="0"/>
        <c:axPos val="l"/>
        <c:title>
          <c:tx>
            <c:rich>
              <a:bodyPr rot="-5400000"/>
              <a:lstStyle/>
              <a:p>
                <a:pPr>
                  <a:defRPr sz="1000" b="0" strike="noStrike" spc="-1">
                    <a:solidFill>
                      <a:srgbClr val="000000"/>
                    </a:solidFill>
                    <a:latin typeface="Times New Roman"/>
                  </a:defRPr>
                </a:pPr>
                <a:r>
                  <a:rPr lang="en-US" sz="1000" b="0" strike="noStrike" spc="-1">
                    <a:solidFill>
                      <a:srgbClr val="000000"/>
                    </a:solidFill>
                    <a:latin typeface="Times New Roman"/>
                  </a:rPr>
                  <a:t>G', G'' (Pa)</a:t>
                </a:r>
              </a:p>
            </c:rich>
          </c:tx>
          <c:layout/>
          <c:overlay val="0"/>
          <c:spPr>
            <a:noFill/>
            <a:ln>
              <a:noFill/>
            </a:ln>
          </c:spPr>
        </c:title>
        <c:numFmt formatCode="General" sourceLinked="0"/>
        <c:majorTickMark val="in"/>
        <c:minorTickMark val="none"/>
        <c:tickLblPos val="nextTo"/>
        <c:spPr>
          <a:ln w="12600">
            <a:solidFill>
              <a:srgbClr val="000000"/>
            </a:solidFill>
            <a:round/>
          </a:ln>
        </c:spPr>
        <c:txPr>
          <a:bodyPr/>
          <a:lstStyle/>
          <a:p>
            <a:pPr>
              <a:defRPr sz="800" b="0" strike="noStrike" spc="-1">
                <a:solidFill>
                  <a:srgbClr val="000000"/>
                </a:solidFill>
                <a:latin typeface="Cambria"/>
              </a:defRPr>
            </a:pPr>
            <a:endParaRPr lang="en-US"/>
          </a:p>
        </c:txPr>
        <c:crossAx val="46891544"/>
        <c:crosses val="autoZero"/>
        <c:crossBetween val="midCat"/>
      </c:valAx>
      <c:spPr>
        <a:noFill/>
        <a:ln w="25560">
          <a:noFill/>
        </a:ln>
      </c:spPr>
    </c:plotArea>
    <c:plotVisOnly val="1"/>
    <c:dispBlanksAs val="gap"/>
    <c:showDLblsOverMax val="1"/>
  </c:chart>
  <c:spPr>
    <a:solidFill>
      <a:srgbClr val="FFFFFF"/>
    </a:solidFill>
    <a:ln w="9360">
      <a:noFill/>
    </a:ln>
  </c:spPr>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B6C2-F7C3-464F-B48D-62A943FE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2215</Words>
  <Characters>12630</Characters>
  <Application>Microsoft Office Word</Application>
  <DocSecurity>0</DocSecurity>
  <Lines>105</Lines>
  <Paragraphs>29</Paragraphs>
  <ScaleCrop>false</ScaleCrop>
  <Company>Setac Europe</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for the SETAC Europe 14th LCA CSS to be held in Göteborg, Sweden</dc:title>
  <dc:subject/>
  <dc:creator>katrien</dc:creator>
  <dc:description/>
  <cp:lastModifiedBy>Ashkan Madadlou</cp:lastModifiedBy>
  <cp:revision>3</cp:revision>
  <cp:lastPrinted>2015-07-16T11:21:00Z</cp:lastPrinted>
  <dcterms:created xsi:type="dcterms:W3CDTF">2019-01-18T16:25:00Z</dcterms:created>
  <dcterms:modified xsi:type="dcterms:W3CDTF">2019-01-18T16:25:00Z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Setac Europe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http://www.zotero.org/styles/journal-of-colloid-and-interface-science</vt:lpwstr>
  </property>
  <property fmtid="{D5CDD505-2E9C-101B-9397-08002B2CF9AE}" pid="8" name="Mendeley Document_1">
    <vt:lpwstr>True</vt:lpwstr>
  </property>
  <property fmtid="{D5CDD505-2E9C-101B-9397-08002B2CF9AE}" pid="9" name="Mendeley Recent Style Id 0_1">
    <vt:lpwstr>http://www.zotero.org/styles/american-political-science-association</vt:lpwstr>
  </property>
  <property fmtid="{D5CDD505-2E9C-101B-9397-08002B2CF9AE}" pid="10" name="Mendeley Recent Style Id 1_1">
    <vt:lpwstr>http://www.zotero.org/styles/apa</vt:lpwstr>
  </property>
  <property fmtid="{D5CDD505-2E9C-101B-9397-08002B2CF9AE}" pid="11" name="Mendeley Recent Style Id 2_1">
    <vt:lpwstr>http://www.zotero.org/styles/american-sociological-association</vt:lpwstr>
  </property>
  <property fmtid="{D5CDD505-2E9C-101B-9397-08002B2CF9AE}" pid="12" name="Mendeley Recent Style Id 3_1">
    <vt:lpwstr>http://www.zotero.org/styles/chicago-author-date</vt:lpwstr>
  </property>
  <property fmtid="{D5CDD505-2E9C-101B-9397-08002B2CF9AE}" pid="13" name="Mendeley Recent Style Id 4_1">
    <vt:lpwstr>http://www.zotero.org/styles/food-and-function</vt:lpwstr>
  </property>
  <property fmtid="{D5CDD505-2E9C-101B-9397-08002B2CF9AE}" pid="14" name="Mendeley Recent Style Id 5_1">
    <vt:lpwstr>http://www.zotero.org/styles/ieee</vt:lpwstr>
  </property>
  <property fmtid="{D5CDD505-2E9C-101B-9397-08002B2CF9AE}" pid="15" name="Mendeley Recent Style Id 6_1">
    <vt:lpwstr>http://www.zotero.org/styles/journal-of-colloid-and-interface-science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http://www.zotero.org/styles/nature</vt:lpwstr>
  </property>
  <property fmtid="{D5CDD505-2E9C-101B-9397-08002B2CF9AE}" pid="19" name="Mendeley Recent Style Name 0_1">
    <vt:lpwstr>American Political Science Association</vt:lpwstr>
  </property>
  <property fmtid="{D5CDD505-2E9C-101B-9397-08002B2CF9AE}" pid="20" name="Mendeley Recent Style Name 1_1">
    <vt:lpwstr>American Psychological Association 6th edition</vt:lpwstr>
  </property>
  <property fmtid="{D5CDD505-2E9C-101B-9397-08002B2CF9AE}" pid="21" name="Mendeley Recent Style Name 2_1">
    <vt:lpwstr>American Sociological Association</vt:lpwstr>
  </property>
  <property fmtid="{D5CDD505-2E9C-101B-9397-08002B2CF9AE}" pid="22" name="Mendeley Recent Style Name 3_1">
    <vt:lpwstr>Chicago Manual of Style 17th edition (author-date)</vt:lpwstr>
  </property>
  <property fmtid="{D5CDD505-2E9C-101B-9397-08002B2CF9AE}" pid="23" name="Mendeley Recent Style Name 4_1">
    <vt:lpwstr>Food &amp; Function</vt:lpwstr>
  </property>
  <property fmtid="{D5CDD505-2E9C-101B-9397-08002B2CF9AE}" pid="24" name="Mendeley Recent Style Name 5_1">
    <vt:lpwstr>IEEE</vt:lpwstr>
  </property>
  <property fmtid="{D5CDD505-2E9C-101B-9397-08002B2CF9AE}" pid="25" name="Mendeley Recent Style Name 6_1">
    <vt:lpwstr>Journal of Colloid And Interface Science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8th edition</vt:lpwstr>
  </property>
  <property fmtid="{D5CDD505-2E9C-101B-9397-08002B2CF9AE}" pid="28" name="Mendeley Recent Style Name 9_1">
    <vt:lpwstr>Nature</vt:lpwstr>
  </property>
  <property fmtid="{D5CDD505-2E9C-101B-9397-08002B2CF9AE}" pid="29" name="Mendeley Unique User Id_1">
    <vt:lpwstr>0da99202-04a6-3e53-81b5-47d6ecf30e2f</vt:lpwstr>
  </property>
  <property fmtid="{D5CDD505-2E9C-101B-9397-08002B2CF9AE}" pid="30" name="ScaleCrop">
    <vt:bool>false</vt:bool>
  </property>
  <property fmtid="{D5CDD505-2E9C-101B-9397-08002B2CF9AE}" pid="31" name="ShareDoc">
    <vt:bool>false</vt:bool>
  </property>
</Properties>
</file>