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7BA" w:rsidRDefault="001167BA" w:rsidP="001167BA">
      <w:pPr>
        <w:pStyle w:val="Titre"/>
        <w:spacing w:after="0" w:line="276" w:lineRule="auto"/>
        <w:jc w:val="center"/>
      </w:pPr>
      <w:bookmarkStart w:id="0" w:name="_GoBack"/>
      <w:bookmarkEnd w:id="0"/>
    </w:p>
    <w:p w:rsidR="00050ABE" w:rsidRPr="001167BA" w:rsidRDefault="00756402" w:rsidP="001F4651">
      <w:pPr>
        <w:pStyle w:val="Authors"/>
        <w:spacing w:after="0" w:line="276" w:lineRule="auto"/>
        <w:jc w:val="center"/>
        <w:rPr>
          <w:vertAlign w:val="superscript"/>
          <w:lang w:val="en-US"/>
        </w:rPr>
      </w:pPr>
      <w:r w:rsidRPr="00756402">
        <w:rPr>
          <w:rFonts w:cs="Times New Roman"/>
          <w:b/>
          <w:bCs/>
          <w:noProof w:val="0"/>
          <w:kern w:val="28"/>
          <w:sz w:val="32"/>
          <w:szCs w:val="32"/>
        </w:rPr>
        <w:t>Understanding of structural heterogeneities in the starch hydrogels</w:t>
      </w:r>
      <w:r w:rsidR="000D0B35">
        <w:rPr>
          <w:rFonts w:cs="Times New Roman"/>
          <w:b/>
          <w:bCs/>
          <w:noProof w:val="0"/>
          <w:kern w:val="28"/>
          <w:sz w:val="32"/>
          <w:szCs w:val="32"/>
        </w:rPr>
        <w:br/>
      </w:r>
      <w:r>
        <w:rPr>
          <w:rFonts w:cs="Times New Roman"/>
          <w:b/>
          <w:bCs/>
          <w:noProof w:val="0"/>
          <w:kern w:val="28"/>
          <w:sz w:val="32"/>
          <w:szCs w:val="32"/>
        </w:rPr>
        <w:br/>
      </w:r>
      <w:r>
        <w:rPr>
          <w:u w:val="single"/>
          <w:lang w:val="en-US"/>
        </w:rPr>
        <w:t>Trey, T. Koev</w:t>
      </w:r>
      <w:r w:rsidR="00050ABE" w:rsidRPr="001167BA">
        <w:rPr>
          <w:vertAlign w:val="superscript"/>
          <w:lang w:val="en-US"/>
        </w:rPr>
        <w:t>1</w:t>
      </w:r>
      <w:r w:rsidR="000D0B35">
        <w:rPr>
          <w:vertAlign w:val="superscript"/>
          <w:lang w:val="en-US"/>
        </w:rPr>
        <w:t>,2</w:t>
      </w:r>
      <w:r w:rsidR="00050ABE" w:rsidRPr="001167BA">
        <w:rPr>
          <w:lang w:val="en-US"/>
        </w:rPr>
        <w:t xml:space="preserve">, </w:t>
      </w:r>
      <w:r w:rsidRPr="00756402">
        <w:rPr>
          <w:lang w:val="en-US"/>
        </w:rPr>
        <w:t>Juan Carlos Muñoz García</w:t>
      </w:r>
      <w:r w:rsidR="00A56EDA">
        <w:rPr>
          <w:vertAlign w:val="superscript"/>
          <w:lang w:val="en-US"/>
        </w:rPr>
        <w:t>2</w:t>
      </w:r>
      <w:r w:rsidR="00050ABE" w:rsidRPr="001167BA">
        <w:rPr>
          <w:lang w:val="en-US"/>
        </w:rPr>
        <w:t xml:space="preserve">, </w:t>
      </w:r>
      <w:r>
        <w:rPr>
          <w:lang w:val="en-US"/>
        </w:rPr>
        <w:t>Fred J. Warren</w:t>
      </w:r>
      <w:r w:rsidR="000D0B35" w:rsidRPr="000D0B35">
        <w:rPr>
          <w:vertAlign w:val="superscript"/>
          <w:lang w:val="en-US"/>
        </w:rPr>
        <w:t>1</w:t>
      </w:r>
      <w:r w:rsidR="000D0B35">
        <w:rPr>
          <w:lang w:val="en-US"/>
        </w:rPr>
        <w:t xml:space="preserve"> </w:t>
      </w:r>
      <w:r w:rsidR="00050ABE" w:rsidRPr="001167BA">
        <w:rPr>
          <w:lang w:val="en-US"/>
        </w:rPr>
        <w:t xml:space="preserve">and </w:t>
      </w:r>
      <w:r w:rsidR="000D0B35">
        <w:rPr>
          <w:lang w:val="en-US"/>
        </w:rPr>
        <w:t>Yaroslav Z. Khimyak</w:t>
      </w:r>
      <w:r w:rsidR="000D0B35">
        <w:rPr>
          <w:vertAlign w:val="superscript"/>
          <w:lang w:val="en-US"/>
        </w:rPr>
        <w:t>2</w:t>
      </w:r>
    </w:p>
    <w:p w:rsidR="000D0B35" w:rsidRDefault="000D0B35" w:rsidP="001F4651">
      <w:pPr>
        <w:pStyle w:val="Affiliation"/>
        <w:spacing w:line="276" w:lineRule="auto"/>
        <w:jc w:val="center"/>
        <w:rPr>
          <w:b/>
          <w:i w:val="0"/>
        </w:rPr>
      </w:pPr>
    </w:p>
    <w:p w:rsidR="00A56EDA" w:rsidRPr="00A56EDA" w:rsidRDefault="000F73C1" w:rsidP="001F4651">
      <w:pPr>
        <w:pStyle w:val="Affiliation"/>
        <w:spacing w:line="276" w:lineRule="auto"/>
        <w:jc w:val="center"/>
        <w:rPr>
          <w:b/>
          <w:bCs/>
          <w:i w:val="0"/>
          <w:iCs/>
        </w:rPr>
      </w:pPr>
      <w:r w:rsidRPr="000D0B35">
        <w:rPr>
          <w:b/>
        </w:rPr>
        <w:t>1</w:t>
      </w:r>
      <w:r w:rsidR="007A1427" w:rsidRPr="000D0B35">
        <w:rPr>
          <w:b/>
        </w:rPr>
        <w:t xml:space="preserve"> </w:t>
      </w:r>
      <w:r w:rsidR="000D0B35" w:rsidRPr="000D0B35">
        <w:rPr>
          <w:b/>
          <w:bCs/>
          <w:iCs/>
        </w:rPr>
        <w:t>Food and Health Department, Quadram Institute Bioscience, Norwich Research Park, NR4 7UA (UK)</w:t>
      </w:r>
    </w:p>
    <w:p w:rsidR="00A56EDA" w:rsidRPr="00A56EDA" w:rsidRDefault="00A56EDA" w:rsidP="00A56EDA">
      <w:pPr>
        <w:pStyle w:val="Affiliation"/>
        <w:spacing w:line="276" w:lineRule="auto"/>
        <w:jc w:val="center"/>
        <w:rPr>
          <w:b/>
          <w:bCs/>
          <w:i w:val="0"/>
          <w:iCs/>
          <w:lang w:val="en-US"/>
        </w:rPr>
      </w:pPr>
      <w:r w:rsidRPr="000D0B35">
        <w:rPr>
          <w:b/>
          <w:bCs/>
          <w:iCs/>
          <w:lang w:val="en-US"/>
        </w:rPr>
        <w:t>2</w:t>
      </w:r>
      <w:r w:rsidRPr="000D0B35">
        <w:rPr>
          <w:b/>
          <w:lang w:val="en-US"/>
        </w:rPr>
        <w:t xml:space="preserve"> </w:t>
      </w:r>
      <w:r w:rsidR="000D0B35" w:rsidRPr="000D0B35">
        <w:rPr>
          <w:b/>
          <w:lang w:val="en-US"/>
        </w:rPr>
        <w:t>School of Pharmacy, University of East Anglia, Norwich Research Park, NR4 7TJ (UK)</w:t>
      </w:r>
    </w:p>
    <w:p w:rsidR="000F73C1" w:rsidRPr="00A56EDA" w:rsidRDefault="000F73C1" w:rsidP="001F4651">
      <w:pPr>
        <w:pStyle w:val="Affiliation"/>
        <w:spacing w:line="276" w:lineRule="auto"/>
        <w:jc w:val="center"/>
        <w:rPr>
          <w:lang w:val="en-US"/>
        </w:rPr>
      </w:pPr>
    </w:p>
    <w:p w:rsidR="007A1427" w:rsidRPr="000D0B35" w:rsidRDefault="00050ABE" w:rsidP="001F4651">
      <w:pPr>
        <w:pStyle w:val="Affiliation"/>
        <w:spacing w:line="276" w:lineRule="auto"/>
        <w:jc w:val="center"/>
        <w:rPr>
          <w:lang w:val="en-US"/>
        </w:rPr>
      </w:pPr>
      <w:r w:rsidRPr="00A56EDA">
        <w:rPr>
          <w:lang w:val="en-US"/>
        </w:rPr>
        <w:t>E</w:t>
      </w:r>
      <w:r w:rsidR="0031629B" w:rsidRPr="00A56EDA">
        <w:rPr>
          <w:lang w:val="en-US"/>
        </w:rPr>
        <w:t>-</w:t>
      </w:r>
      <w:r w:rsidRPr="00A56EDA">
        <w:rPr>
          <w:lang w:val="en-US"/>
        </w:rPr>
        <w:t>mail contact</w:t>
      </w:r>
      <w:r w:rsidRPr="000D0B35">
        <w:rPr>
          <w:lang w:val="en-US"/>
        </w:rPr>
        <w:t xml:space="preserve">: </w:t>
      </w:r>
      <w:r w:rsidR="000D0B35" w:rsidRPr="000D0B35">
        <w:rPr>
          <w:b/>
          <w:lang w:val="en-US"/>
        </w:rPr>
        <w:t>todor.koev@quadram.ac.uk</w:t>
      </w:r>
    </w:p>
    <w:p w:rsidR="00355271" w:rsidRPr="00A56EDA" w:rsidRDefault="00355271" w:rsidP="001F4651">
      <w:pPr>
        <w:spacing w:after="0"/>
        <w:rPr>
          <w:lang w:val="en-US"/>
        </w:rPr>
      </w:pPr>
    </w:p>
    <w:p w:rsidR="000D0B35" w:rsidRPr="000D0B35" w:rsidRDefault="000D0B35" w:rsidP="000D0B35">
      <w:pPr>
        <w:ind w:right="34"/>
        <w:rPr>
          <w:b/>
        </w:rPr>
      </w:pPr>
      <w:r w:rsidRPr="000D0B35">
        <w:rPr>
          <w:b/>
        </w:rPr>
        <w:t>Abstract</w:t>
      </w:r>
    </w:p>
    <w:p w:rsidR="000D0B35" w:rsidRDefault="000D0B35" w:rsidP="000D0B35">
      <w:pPr>
        <w:ind w:right="34"/>
      </w:pPr>
      <w:r>
        <w:t>As an easily accessible, renewable and environmentally friendly material, and a pivotal part of the human diet, starch holds great promise for a wide variety of structural, pharmaceutical and biomedical applications. Starch hydrogels are unique three-dimensional, semi-solid structures able to hold a large amount of water and other solvents with unique rheological, physicochemical and biochemical properties. As representatives of molecular gels, starch hydrogels simultaneously feature domains with highly distinct manner of organisation, packing and molecular mobility, which introduces considerable difficulties to their full experimental characterisation.</w:t>
      </w:r>
    </w:p>
    <w:p w:rsidR="000D0B35" w:rsidRDefault="000D0B35" w:rsidP="000D0B35">
      <w:pPr>
        <w:ind w:right="34"/>
      </w:pPr>
      <w:r>
        <w:t xml:space="preserve">In this project, we have applied NMR methods specifically tailored to the identification of rigid and mobile components, such as </w:t>
      </w:r>
      <w:r w:rsidRPr="000D0B35">
        <w:rPr>
          <w:vertAlign w:val="superscript"/>
        </w:rPr>
        <w:t>1</w:t>
      </w:r>
      <w:r>
        <w:t>H-</w:t>
      </w:r>
      <w:r w:rsidRPr="000D0B35">
        <w:rPr>
          <w:vertAlign w:val="superscript"/>
        </w:rPr>
        <w:t>13</w:t>
      </w:r>
      <w:r>
        <w:t>C CP and CPSP-MAS NMR</w:t>
      </w:r>
      <w:r w:rsidRPr="000D0B35">
        <w:rPr>
          <w:vertAlign w:val="superscript"/>
        </w:rPr>
        <w:t>1–6</w:t>
      </w:r>
      <w:r>
        <w:t>, which are novel to the field of starch hydrogels. Hydrogel materials were produced by different hydrothermal treatment methods using five separate maize cultivars, featuring different levels of composite glucans, degree of modification and resistant starch character.</w:t>
      </w:r>
    </w:p>
    <w:p w:rsidR="000D0B35" w:rsidRDefault="000D0B35" w:rsidP="000D0B35">
      <w:pPr>
        <w:ind w:right="34"/>
      </w:pPr>
      <w:r>
        <w:t>Our initial investigations resulted in the identification of previously unpublished distinct carbon sites exhibiting increased mobility in low amylose starch hydrogels, when compared to their high amylose counterparts. Data obtained from these investigations were cross-referenced with rheological and thermal analyses of the maize hydrogels. These findings were hypothesised to be a consequence of the predominantly linear structure of amylose, compared to its highly branched glucan analogue, facilitating inter-chain association during the period of gelatinisation.</w:t>
      </w:r>
    </w:p>
    <w:p w:rsidR="00F82D91" w:rsidRDefault="000D0B35" w:rsidP="000D0B35">
      <w:pPr>
        <w:ind w:right="34"/>
      </w:pPr>
      <w:r>
        <w:t>We aim to use our findings for the development of previously unexplored starch hydrogel-based materials for applications in the pharmaceutical and biomedical sphere, as novel biocompatible prosthetic implants and “smart” drug delivery methods as targeted, stimuli-responsive and controlled drug release loading materials.</w:t>
      </w:r>
    </w:p>
    <w:p w:rsidR="000D0B35" w:rsidRPr="00F82D91" w:rsidRDefault="000D0B35" w:rsidP="001F4651">
      <w:pPr>
        <w:spacing w:after="0"/>
        <w:rPr>
          <w:noProof/>
        </w:rPr>
      </w:pPr>
    </w:p>
    <w:p w:rsidR="00050ABE" w:rsidRPr="00050ABE" w:rsidRDefault="00050ABE" w:rsidP="001F4651">
      <w:pPr>
        <w:pStyle w:val="Sous-titre"/>
        <w:spacing w:after="0"/>
      </w:pPr>
      <w:r w:rsidRPr="00050ABE">
        <w:t>References</w:t>
      </w:r>
    </w:p>
    <w:p w:rsidR="00F615AC" w:rsidRDefault="00F615AC" w:rsidP="001F4651">
      <w:pPr>
        <w:pStyle w:val="References"/>
      </w:pPr>
    </w:p>
    <w:p w:rsidR="000D0B35" w:rsidRDefault="000D0B35" w:rsidP="000D0B35">
      <w:pPr>
        <w:pStyle w:val="References"/>
      </w:pPr>
      <w:r>
        <w:t xml:space="preserve">1. </w:t>
      </w:r>
      <w:r>
        <w:tab/>
        <w:t xml:space="preserve">M. J. Gidley and S. M. Bociek, </w:t>
      </w:r>
      <w:r w:rsidRPr="000D0B35">
        <w:rPr>
          <w:i/>
        </w:rPr>
        <w:t>J. Am. Chem. Soc</w:t>
      </w:r>
      <w:r>
        <w:t>., 1985, 107, 7040–7044.</w:t>
      </w:r>
    </w:p>
    <w:p w:rsidR="000D0B35" w:rsidRDefault="000D0B35" w:rsidP="000D0B35">
      <w:pPr>
        <w:pStyle w:val="References"/>
      </w:pPr>
      <w:r>
        <w:t xml:space="preserve">2  </w:t>
      </w:r>
      <w:r>
        <w:tab/>
        <w:t xml:space="preserve">M. J. Gidley and S. M. Bociek, </w:t>
      </w:r>
      <w:r w:rsidRPr="000D0B35">
        <w:rPr>
          <w:i/>
        </w:rPr>
        <w:t>J. Am. Chem. Soc</w:t>
      </w:r>
      <w:r>
        <w:t>., 1988, 110, 3820–3829.</w:t>
      </w:r>
    </w:p>
    <w:p w:rsidR="000D0B35" w:rsidRDefault="000D0B35" w:rsidP="000D0B35">
      <w:pPr>
        <w:pStyle w:val="References"/>
      </w:pPr>
      <w:r>
        <w:t xml:space="preserve">3 </w:t>
      </w:r>
      <w:r>
        <w:tab/>
        <w:t xml:space="preserve">R. P. Veregin, C. A. Fyfe and R. H. Marchessault, </w:t>
      </w:r>
      <w:r w:rsidRPr="000D0B35">
        <w:rPr>
          <w:i/>
        </w:rPr>
        <w:t>Macromolecules</w:t>
      </w:r>
      <w:r>
        <w:t>, 1987, 20, 3007–3012.</w:t>
      </w:r>
    </w:p>
    <w:p w:rsidR="000D0B35" w:rsidRDefault="000D0B35" w:rsidP="000D0B35">
      <w:pPr>
        <w:pStyle w:val="References"/>
      </w:pPr>
      <w:r>
        <w:t xml:space="preserve">4 </w:t>
      </w:r>
      <w:r>
        <w:tab/>
        <w:t xml:space="preserve">M. Y. Baik, L. C. Dickinson and P. Chinachoti, </w:t>
      </w:r>
      <w:r w:rsidRPr="000D0B35">
        <w:rPr>
          <w:i/>
        </w:rPr>
        <w:t>J. Agric. Food Chem</w:t>
      </w:r>
      <w:r>
        <w:t>., 2003, 51, 1242–1248.</w:t>
      </w:r>
    </w:p>
    <w:p w:rsidR="000D0B35" w:rsidRDefault="000D0B35" w:rsidP="000D0B35">
      <w:pPr>
        <w:pStyle w:val="References"/>
      </w:pPr>
      <w:r>
        <w:t xml:space="preserve">5 </w:t>
      </w:r>
      <w:r>
        <w:tab/>
        <w:t xml:space="preserve">H. Tang and B. P. Hills, </w:t>
      </w:r>
      <w:r w:rsidRPr="000D0B35">
        <w:rPr>
          <w:i/>
        </w:rPr>
        <w:t>Biomacromolecules</w:t>
      </w:r>
      <w:r>
        <w:t>, 2003, 4, 1269–1276.</w:t>
      </w:r>
    </w:p>
    <w:p w:rsidR="00AA5105" w:rsidRDefault="000D0B35" w:rsidP="000D0B35">
      <w:pPr>
        <w:pStyle w:val="References"/>
      </w:pPr>
      <w:r>
        <w:t xml:space="preserve">6 </w:t>
      </w:r>
      <w:r>
        <w:tab/>
        <w:t xml:space="preserve">R. Kovrlija and C. Rondeau-Mouro, </w:t>
      </w:r>
      <w:r w:rsidRPr="000D0B35">
        <w:rPr>
          <w:i/>
        </w:rPr>
        <w:t>Food Chem</w:t>
      </w:r>
      <w:r>
        <w:t>., 2017, 236, 2–14.</w:t>
      </w:r>
    </w:p>
    <w:sectPr w:rsidR="00AA5105" w:rsidSect="00CF6DF7">
      <w:pgSz w:w="11906" w:h="16838" w:code="9"/>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74B2B"/>
    <w:multiLevelType w:val="multilevel"/>
    <w:tmpl w:val="FA2C2C34"/>
    <w:lvl w:ilvl="0">
      <w:start w:val="1"/>
      <w:numFmt w:val="decimal"/>
      <w:lvlText w:val="%1."/>
      <w:lvlJc w:val="left"/>
      <w:pPr>
        <w:ind w:left="357" w:hanging="357"/>
      </w:pPr>
      <w:rPr>
        <w:rFonts w:ascii="Arial" w:hAnsi="Arial" w:hint="default"/>
        <w:b/>
        <w:i w:val="0"/>
        <w:sz w:val="24"/>
      </w:rPr>
    </w:lvl>
    <w:lvl w:ilvl="1">
      <w:start w:val="1"/>
      <w:numFmt w:val="decimal"/>
      <w:lvlText w:val="%1.%2."/>
      <w:lvlJc w:val="left"/>
      <w:pPr>
        <w:ind w:left="567" w:hanging="567"/>
      </w:pPr>
      <w:rPr>
        <w:rFonts w:ascii="Arial" w:hAnsi="Arial" w:hint="default"/>
        <w:b/>
        <w:i w:val="0"/>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D04D62"/>
    <w:multiLevelType w:val="multilevel"/>
    <w:tmpl w:val="B9C8C38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BA72986"/>
    <w:multiLevelType w:val="multilevel"/>
    <w:tmpl w:val="00B2F496"/>
    <w:lvl w:ilvl="0">
      <w:start w:val="1"/>
      <w:numFmt w:val="decimal"/>
      <w:lvlText w:val="%1."/>
      <w:lvlJc w:val="left"/>
      <w:pPr>
        <w:ind w:left="357" w:hanging="357"/>
      </w:pPr>
      <w:rPr>
        <w:rFonts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67" w:hanging="567"/>
      </w:pPr>
      <w:rPr>
        <w:rFonts w:ascii="Arial" w:hAnsi="Arial" w:hint="default"/>
        <w:b/>
        <w:i w:val="0"/>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57A2B73"/>
    <w:multiLevelType w:val="multilevel"/>
    <w:tmpl w:val="B886954E"/>
    <w:lvl w:ilvl="0">
      <w:start w:val="1"/>
      <w:numFmt w:val="decimal"/>
      <w:pStyle w:val="Titre1"/>
      <w:lvlText w:val="%1."/>
      <w:lvlJc w:val="left"/>
      <w:pPr>
        <w:ind w:left="357" w:hanging="357"/>
      </w:pPr>
      <w:rPr>
        <w:rFonts w:cs="Times New Roman" w:hint="default"/>
        <w:i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ind w:left="567" w:hanging="567"/>
      </w:pPr>
      <w:rPr>
        <w:rFonts w:ascii="Arial" w:hAnsi="Arial" w:hint="default"/>
        <w:b/>
        <w:i w:val="0"/>
        <w:sz w:val="22"/>
      </w:rPr>
    </w:lvl>
    <w:lvl w:ilvl="2">
      <w:start w:val="1"/>
      <w:numFmt w:val="decimal"/>
      <w:lvlRestart w:val="1"/>
      <w:pStyle w:val="Titre3"/>
      <w:lvlText w:val="%1.%2.%3."/>
      <w:lvlJc w:val="left"/>
      <w:pPr>
        <w:ind w:left="851" w:hanging="851"/>
      </w:pPr>
      <w:rPr>
        <w:rFonts w:ascii="Arial" w:hAnsi="Arial" w:hint="default"/>
        <w:b/>
        <w:i w:val="0"/>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C4A0BC7"/>
    <w:multiLevelType w:val="multilevel"/>
    <w:tmpl w:val="6420B8C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0FD4CD5"/>
    <w:multiLevelType w:val="multilevel"/>
    <w:tmpl w:val="27AA2B7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68963CE"/>
    <w:multiLevelType w:val="multilevel"/>
    <w:tmpl w:val="6420B8C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74B7746"/>
    <w:multiLevelType w:val="multilevel"/>
    <w:tmpl w:val="E2742B9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79049F8"/>
    <w:multiLevelType w:val="hybridMultilevel"/>
    <w:tmpl w:val="31B8B3F0"/>
    <w:lvl w:ilvl="0" w:tplc="EE1E8E5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AA4FC5"/>
    <w:multiLevelType w:val="hybridMultilevel"/>
    <w:tmpl w:val="6B9A67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3B71D8"/>
    <w:multiLevelType w:val="multilevel"/>
    <w:tmpl w:val="43DCA3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B793446"/>
    <w:multiLevelType w:val="multilevel"/>
    <w:tmpl w:val="6420B8C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F4356BC"/>
    <w:multiLevelType w:val="multilevel"/>
    <w:tmpl w:val="6420B8C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FA0424A"/>
    <w:multiLevelType w:val="multilevel"/>
    <w:tmpl w:val="6CA8F2AE"/>
    <w:lvl w:ilvl="0">
      <w:start w:val="1"/>
      <w:numFmt w:val="decimal"/>
      <w:lvlText w:val="%1."/>
      <w:lvlJc w:val="left"/>
      <w:pPr>
        <w:ind w:left="720" w:hanging="360"/>
      </w:pPr>
      <w:rPr>
        <w:rFonts w:hint="default"/>
      </w:rPr>
    </w:lvl>
    <w:lvl w:ilvl="1">
      <w:start w:val="1"/>
      <w:numFmt w:val="decimal"/>
      <w:lvlText w:val=".%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65B07078"/>
    <w:multiLevelType w:val="hybridMultilevel"/>
    <w:tmpl w:val="2BDC1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307B6A"/>
    <w:multiLevelType w:val="multilevel"/>
    <w:tmpl w:val="5504FC84"/>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1563C07"/>
    <w:multiLevelType w:val="hybridMultilevel"/>
    <w:tmpl w:val="0C36BD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6"/>
  </w:num>
  <w:num w:numId="3">
    <w:abstractNumId w:val="9"/>
  </w:num>
  <w:num w:numId="4">
    <w:abstractNumId w:val="2"/>
  </w:num>
  <w:num w:numId="5">
    <w:abstractNumId w:val="8"/>
  </w:num>
  <w:num w:numId="6">
    <w:abstractNumId w:val="11"/>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5"/>
  </w:num>
  <w:num w:numId="13">
    <w:abstractNumId w:val="15"/>
  </w:num>
  <w:num w:numId="14">
    <w:abstractNumId w:val="13"/>
  </w:num>
  <w:num w:numId="15">
    <w:abstractNumId w:val="7"/>
  </w:num>
  <w:num w:numId="16">
    <w:abstractNumId w:val="10"/>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101"/>
    <w:rsid w:val="00000FD8"/>
    <w:rsid w:val="0000206E"/>
    <w:rsid w:val="00050ABE"/>
    <w:rsid w:val="00081754"/>
    <w:rsid w:val="000A2767"/>
    <w:rsid w:val="000A41B5"/>
    <w:rsid w:val="000A68C5"/>
    <w:rsid w:val="000D0B35"/>
    <w:rsid w:val="000F73C1"/>
    <w:rsid w:val="001167BA"/>
    <w:rsid w:val="0015325F"/>
    <w:rsid w:val="001850A4"/>
    <w:rsid w:val="001A666C"/>
    <w:rsid w:val="001B558E"/>
    <w:rsid w:val="001F4651"/>
    <w:rsid w:val="0021734E"/>
    <w:rsid w:val="00224340"/>
    <w:rsid w:val="002C3CF8"/>
    <w:rsid w:val="002D54E1"/>
    <w:rsid w:val="00313961"/>
    <w:rsid w:val="0031629B"/>
    <w:rsid w:val="00334521"/>
    <w:rsid w:val="0035441B"/>
    <w:rsid w:val="00355271"/>
    <w:rsid w:val="003770AC"/>
    <w:rsid w:val="003D32E9"/>
    <w:rsid w:val="003F5E64"/>
    <w:rsid w:val="0047542E"/>
    <w:rsid w:val="004C314F"/>
    <w:rsid w:val="00522752"/>
    <w:rsid w:val="00550AF8"/>
    <w:rsid w:val="005801AD"/>
    <w:rsid w:val="005C25CC"/>
    <w:rsid w:val="0061510E"/>
    <w:rsid w:val="00650662"/>
    <w:rsid w:val="00654EB5"/>
    <w:rsid w:val="006645A8"/>
    <w:rsid w:val="00682636"/>
    <w:rsid w:val="00756402"/>
    <w:rsid w:val="007756B9"/>
    <w:rsid w:val="0078356F"/>
    <w:rsid w:val="00784167"/>
    <w:rsid w:val="007A1427"/>
    <w:rsid w:val="007D21B0"/>
    <w:rsid w:val="007E5FCE"/>
    <w:rsid w:val="00817F40"/>
    <w:rsid w:val="00835392"/>
    <w:rsid w:val="008471CC"/>
    <w:rsid w:val="00875609"/>
    <w:rsid w:val="008A7B01"/>
    <w:rsid w:val="008F3319"/>
    <w:rsid w:val="00930D51"/>
    <w:rsid w:val="00A56EDA"/>
    <w:rsid w:val="00A716AB"/>
    <w:rsid w:val="00AA455F"/>
    <w:rsid w:val="00AA5105"/>
    <w:rsid w:val="00AD71F2"/>
    <w:rsid w:val="00B14843"/>
    <w:rsid w:val="00B176A6"/>
    <w:rsid w:val="00B22AFA"/>
    <w:rsid w:val="00B578A4"/>
    <w:rsid w:val="00B926BC"/>
    <w:rsid w:val="00BE635F"/>
    <w:rsid w:val="00C11B52"/>
    <w:rsid w:val="00C53705"/>
    <w:rsid w:val="00CE13AF"/>
    <w:rsid w:val="00CE3525"/>
    <w:rsid w:val="00CF6DF7"/>
    <w:rsid w:val="00D01D7E"/>
    <w:rsid w:val="00D2568B"/>
    <w:rsid w:val="00D435DA"/>
    <w:rsid w:val="00D50101"/>
    <w:rsid w:val="00D7050A"/>
    <w:rsid w:val="00D73B7D"/>
    <w:rsid w:val="00DD46F1"/>
    <w:rsid w:val="00DF7FC1"/>
    <w:rsid w:val="00E71A44"/>
    <w:rsid w:val="00EB768E"/>
    <w:rsid w:val="00F23E42"/>
    <w:rsid w:val="00F615AC"/>
    <w:rsid w:val="00F82D91"/>
    <w:rsid w:val="00FA6DF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0A343F-66FD-4D53-9B20-87895FDC2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lsdException w:name="Colorful Grid" w:uiPriority="29"/>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392"/>
    <w:pPr>
      <w:spacing w:after="120"/>
      <w:jc w:val="both"/>
    </w:pPr>
    <w:rPr>
      <w:rFonts w:ascii="Arial" w:hAnsi="Arial"/>
      <w:szCs w:val="24"/>
      <w:lang w:val="en-GB" w:eastAsia="en-US"/>
    </w:rPr>
  </w:style>
  <w:style w:type="paragraph" w:styleId="Titre1">
    <w:name w:val="heading 1"/>
    <w:basedOn w:val="Normal"/>
    <w:next w:val="Normal"/>
    <w:link w:val="Titre1Car"/>
    <w:uiPriority w:val="9"/>
    <w:rsid w:val="002C3CF8"/>
    <w:pPr>
      <w:keepNext/>
      <w:numPr>
        <w:numId w:val="21"/>
      </w:numPr>
      <w:spacing w:before="360"/>
      <w:jc w:val="left"/>
      <w:outlineLvl w:val="0"/>
    </w:pPr>
    <w:rPr>
      <w:b/>
      <w:bCs/>
      <w:noProof/>
      <w:kern w:val="32"/>
      <w:sz w:val="24"/>
      <w:szCs w:val="32"/>
    </w:rPr>
  </w:style>
  <w:style w:type="paragraph" w:styleId="Titre2">
    <w:name w:val="heading 2"/>
    <w:basedOn w:val="Normal"/>
    <w:next w:val="Normal"/>
    <w:link w:val="Titre2Car"/>
    <w:uiPriority w:val="9"/>
    <w:unhideWhenUsed/>
    <w:rsid w:val="00B22AFA"/>
    <w:pPr>
      <w:keepNext/>
      <w:numPr>
        <w:ilvl w:val="1"/>
        <w:numId w:val="21"/>
      </w:numPr>
      <w:spacing w:before="240"/>
      <w:jc w:val="left"/>
      <w:outlineLvl w:val="1"/>
    </w:pPr>
    <w:rPr>
      <w:b/>
      <w:bCs/>
      <w:iCs/>
      <w:sz w:val="22"/>
      <w:szCs w:val="28"/>
    </w:rPr>
  </w:style>
  <w:style w:type="paragraph" w:styleId="Titre3">
    <w:name w:val="heading 3"/>
    <w:basedOn w:val="Normal"/>
    <w:next w:val="Normal"/>
    <w:link w:val="Titre3Car"/>
    <w:uiPriority w:val="9"/>
    <w:unhideWhenUsed/>
    <w:rsid w:val="002C3CF8"/>
    <w:pPr>
      <w:keepNext/>
      <w:numPr>
        <w:ilvl w:val="2"/>
        <w:numId w:val="21"/>
      </w:numPr>
      <w:spacing w:before="180"/>
      <w:jc w:val="left"/>
      <w:outlineLvl w:val="2"/>
    </w:pPr>
    <w:rPr>
      <w:b/>
      <w:bCs/>
      <w:noProof/>
      <w:szCs w:val="2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Pr>
      <w:color w:val="0000FF"/>
      <w:u w:val="single"/>
    </w:rPr>
  </w:style>
  <w:style w:type="paragraph" w:styleId="Corpsdetexte">
    <w:name w:val="Body Text"/>
    <w:basedOn w:val="Normal"/>
    <w:semiHidden/>
    <w:rPr>
      <w:rFonts w:cs="Arial"/>
      <w:noProof/>
      <w:lang w:val="en-US"/>
    </w:rPr>
  </w:style>
  <w:style w:type="paragraph" w:styleId="Textedebulles">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en-GB" w:eastAsia="en-US"/>
    </w:rPr>
  </w:style>
  <w:style w:type="paragraph" w:styleId="Lgende">
    <w:name w:val="caption"/>
    <w:basedOn w:val="Normal"/>
    <w:next w:val="Normal"/>
    <w:uiPriority w:val="35"/>
    <w:unhideWhenUsed/>
    <w:qFormat/>
    <w:rsid w:val="00835392"/>
    <w:pPr>
      <w:jc w:val="center"/>
    </w:pPr>
    <w:rPr>
      <w:b/>
      <w:bCs/>
      <w:i/>
      <w:sz w:val="16"/>
      <w:szCs w:val="20"/>
    </w:rPr>
  </w:style>
  <w:style w:type="paragraph" w:styleId="Titre">
    <w:name w:val="Title"/>
    <w:basedOn w:val="Normal"/>
    <w:next w:val="Normal"/>
    <w:link w:val="TitreCar"/>
    <w:uiPriority w:val="10"/>
    <w:qFormat/>
    <w:rsid w:val="007A1427"/>
    <w:pPr>
      <w:spacing w:after="240"/>
      <w:jc w:val="left"/>
      <w:outlineLvl w:val="0"/>
    </w:pPr>
    <w:rPr>
      <w:b/>
      <w:bCs/>
      <w:kern w:val="28"/>
      <w:sz w:val="32"/>
      <w:szCs w:val="32"/>
    </w:rPr>
  </w:style>
  <w:style w:type="character" w:customStyle="1" w:styleId="TitreCar">
    <w:name w:val="Titre Car"/>
    <w:link w:val="Titre"/>
    <w:uiPriority w:val="10"/>
    <w:rsid w:val="007A1427"/>
    <w:rPr>
      <w:rFonts w:ascii="Arial" w:hAnsi="Arial"/>
      <w:b/>
      <w:bCs/>
      <w:kern w:val="28"/>
      <w:sz w:val="32"/>
      <w:szCs w:val="32"/>
      <w:lang w:eastAsia="en-US"/>
    </w:rPr>
  </w:style>
  <w:style w:type="paragraph" w:customStyle="1" w:styleId="Authors">
    <w:name w:val="Authors"/>
    <w:basedOn w:val="Normal"/>
    <w:qFormat/>
    <w:rsid w:val="007A1427"/>
    <w:pPr>
      <w:spacing w:after="240"/>
      <w:jc w:val="left"/>
    </w:pPr>
    <w:rPr>
      <w:rFonts w:cs="Arial"/>
      <w:noProof/>
      <w:sz w:val="24"/>
    </w:rPr>
  </w:style>
  <w:style w:type="paragraph" w:customStyle="1" w:styleId="Affiliation">
    <w:name w:val="Affiliation"/>
    <w:basedOn w:val="Normal"/>
    <w:qFormat/>
    <w:rsid w:val="007A1427"/>
    <w:pPr>
      <w:spacing w:after="0"/>
      <w:jc w:val="left"/>
    </w:pPr>
    <w:rPr>
      <w:rFonts w:cs="Arial"/>
      <w:i/>
      <w:noProof/>
    </w:rPr>
  </w:style>
  <w:style w:type="character" w:customStyle="1" w:styleId="Titre1Car">
    <w:name w:val="Titre 1 Car"/>
    <w:link w:val="Titre1"/>
    <w:uiPriority w:val="9"/>
    <w:rsid w:val="002C3CF8"/>
    <w:rPr>
      <w:rFonts w:ascii="Arial" w:hAnsi="Arial"/>
      <w:b/>
      <w:bCs/>
      <w:noProof/>
      <w:kern w:val="32"/>
      <w:sz w:val="24"/>
      <w:szCs w:val="32"/>
      <w:lang w:eastAsia="en-US"/>
    </w:rPr>
  </w:style>
  <w:style w:type="character" w:styleId="Titredulivre">
    <w:name w:val="Book Title"/>
    <w:uiPriority w:val="33"/>
    <w:rsid w:val="00DF7FC1"/>
    <w:rPr>
      <w:b/>
      <w:bCs/>
      <w:smallCaps/>
      <w:spacing w:val="5"/>
    </w:rPr>
  </w:style>
  <w:style w:type="character" w:customStyle="1" w:styleId="Titre2Car">
    <w:name w:val="Titre 2 Car"/>
    <w:link w:val="Titre2"/>
    <w:uiPriority w:val="9"/>
    <w:rsid w:val="00B22AFA"/>
    <w:rPr>
      <w:rFonts w:ascii="Arial" w:hAnsi="Arial"/>
      <w:b/>
      <w:bCs/>
      <w:iCs/>
      <w:sz w:val="22"/>
      <w:szCs w:val="28"/>
      <w:lang w:eastAsia="en-US"/>
    </w:rPr>
  </w:style>
  <w:style w:type="paragraph" w:styleId="Paragraphedeliste">
    <w:name w:val="List Paragraph"/>
    <w:basedOn w:val="Normal"/>
    <w:uiPriority w:val="34"/>
    <w:rsid w:val="007D21B0"/>
    <w:pPr>
      <w:ind w:left="720"/>
    </w:pPr>
  </w:style>
  <w:style w:type="character" w:customStyle="1" w:styleId="Titre3Car">
    <w:name w:val="Titre 3 Car"/>
    <w:link w:val="Titre3"/>
    <w:uiPriority w:val="9"/>
    <w:rsid w:val="002C3CF8"/>
    <w:rPr>
      <w:rFonts w:ascii="Arial" w:hAnsi="Arial"/>
      <w:b/>
      <w:bCs/>
      <w:noProof/>
      <w:szCs w:val="26"/>
      <w:u w:val="single"/>
      <w:lang w:eastAsia="en-US"/>
    </w:rPr>
  </w:style>
  <w:style w:type="table" w:styleId="Grilledutableau">
    <w:name w:val="Table Grid"/>
    <w:basedOn w:val="TableauNormal"/>
    <w:uiPriority w:val="59"/>
    <w:rsid w:val="007D21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ferences">
    <w:name w:val="References"/>
    <w:basedOn w:val="Normal"/>
    <w:qFormat/>
    <w:rsid w:val="00224340"/>
    <w:pPr>
      <w:tabs>
        <w:tab w:val="left" w:pos="1134"/>
      </w:tabs>
      <w:spacing w:after="0"/>
      <w:ind w:left="720" w:hanging="720"/>
    </w:pPr>
    <w:rPr>
      <w:noProof/>
    </w:rPr>
  </w:style>
  <w:style w:type="paragraph" w:styleId="Sous-titre">
    <w:name w:val="Subtitle"/>
    <w:basedOn w:val="Normal"/>
    <w:next w:val="Normal"/>
    <w:link w:val="Sous-titreCar"/>
    <w:uiPriority w:val="11"/>
    <w:qFormat/>
    <w:rsid w:val="007A1427"/>
    <w:pPr>
      <w:spacing w:after="60"/>
      <w:jc w:val="left"/>
      <w:outlineLvl w:val="1"/>
    </w:pPr>
    <w:rPr>
      <w:rFonts w:ascii="Cambria" w:hAnsi="Cambria"/>
      <w:b/>
      <w:sz w:val="24"/>
    </w:rPr>
  </w:style>
  <w:style w:type="character" w:customStyle="1" w:styleId="Sous-titreCar">
    <w:name w:val="Sous-titre Car"/>
    <w:link w:val="Sous-titre"/>
    <w:uiPriority w:val="11"/>
    <w:rsid w:val="007A1427"/>
    <w:rPr>
      <w:rFonts w:ascii="Cambria" w:eastAsia="Times New Roman" w:hAnsi="Cambria" w:cs="Times New Roman"/>
      <w:b/>
      <w:sz w:val="24"/>
      <w:szCs w:val="24"/>
      <w:lang w:eastAsia="en-US"/>
    </w:rPr>
  </w:style>
  <w:style w:type="character" w:styleId="Marquedecommentaire">
    <w:name w:val="annotation reference"/>
    <w:uiPriority w:val="99"/>
    <w:semiHidden/>
    <w:unhideWhenUsed/>
    <w:rsid w:val="00355271"/>
    <w:rPr>
      <w:sz w:val="16"/>
      <w:szCs w:val="16"/>
    </w:rPr>
  </w:style>
  <w:style w:type="paragraph" w:styleId="Commentaire">
    <w:name w:val="annotation text"/>
    <w:basedOn w:val="Normal"/>
    <w:link w:val="CommentaireCar"/>
    <w:uiPriority w:val="99"/>
    <w:semiHidden/>
    <w:unhideWhenUsed/>
    <w:rsid w:val="00355271"/>
    <w:rPr>
      <w:szCs w:val="20"/>
    </w:rPr>
  </w:style>
  <w:style w:type="character" w:customStyle="1" w:styleId="CommentaireCar">
    <w:name w:val="Commentaire Car"/>
    <w:link w:val="Commentaire"/>
    <w:uiPriority w:val="99"/>
    <w:semiHidden/>
    <w:rsid w:val="00355271"/>
    <w:rPr>
      <w:rFonts w:ascii="Arial" w:hAnsi="Arial"/>
      <w:lang w:val="en-GB" w:eastAsia="en-US"/>
    </w:rPr>
  </w:style>
  <w:style w:type="paragraph" w:styleId="Objetducommentaire">
    <w:name w:val="annotation subject"/>
    <w:basedOn w:val="Commentaire"/>
    <w:next w:val="Commentaire"/>
    <w:link w:val="ObjetducommentaireCar"/>
    <w:uiPriority w:val="99"/>
    <w:semiHidden/>
    <w:unhideWhenUsed/>
    <w:rsid w:val="00355271"/>
    <w:rPr>
      <w:b/>
      <w:bCs/>
    </w:rPr>
  </w:style>
  <w:style w:type="character" w:customStyle="1" w:styleId="ObjetducommentaireCar">
    <w:name w:val="Objet du commentaire Car"/>
    <w:link w:val="Objetducommentaire"/>
    <w:uiPriority w:val="99"/>
    <w:semiHidden/>
    <w:rsid w:val="00355271"/>
    <w:rPr>
      <w:rFonts w:ascii="Arial" w:hAnsi="Arial"/>
      <w:b/>
      <w:bCs/>
      <w:lang w:val="en-GB" w:eastAsia="en-US"/>
    </w:rPr>
  </w:style>
  <w:style w:type="paragraph" w:styleId="NormalWeb">
    <w:name w:val="Normal (Web)"/>
    <w:basedOn w:val="Normal"/>
    <w:uiPriority w:val="99"/>
    <w:semiHidden/>
    <w:unhideWhenUsed/>
    <w:rsid w:val="0061510E"/>
    <w:pPr>
      <w:spacing w:before="100" w:beforeAutospacing="1" w:after="100" w:afterAutospacing="1"/>
      <w:jc w:val="left"/>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828977">
      <w:bodyDiv w:val="1"/>
      <w:marLeft w:val="0"/>
      <w:marRight w:val="0"/>
      <w:marTop w:val="0"/>
      <w:marBottom w:val="0"/>
      <w:divBdr>
        <w:top w:val="none" w:sz="0" w:space="0" w:color="auto"/>
        <w:left w:val="none" w:sz="0" w:space="0" w:color="auto"/>
        <w:bottom w:val="none" w:sz="0" w:space="0" w:color="auto"/>
        <w:right w:val="none" w:sz="0" w:space="0" w:color="auto"/>
      </w:divBdr>
      <w:divsChild>
        <w:div w:id="142646489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rien.SETACEU\AppData\Local\Microsoft\Windows\Temporary%20Internet%20Files\Content.Outlook\DN6VWWSE\Extended%20abstract%20template.do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AE384-ECEB-4641-9915-1A2015249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Extended abstract template.dot</Template>
  <TotalTime>0</TotalTime>
  <Pages>1</Pages>
  <Words>438</Words>
  <Characters>2414</Characters>
  <Application>Microsoft Office Word</Application>
  <DocSecurity>0</DocSecurity>
  <Lines>20</Lines>
  <Paragraphs>5</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Extended abstract for the SETAC Europe 14th LCA CSS to be held in Göteborg, Sweden</vt:lpstr>
      <vt:lpstr>Extended abstract for the SETAC Europe 14th LCA CSS to be held in Göteborg, Sweden</vt:lpstr>
      <vt:lpstr>Extended abstract for the SETAC Europe 14th LCA CSS to be held in Göteborg, Sweden</vt:lpstr>
    </vt:vector>
  </TitlesOfParts>
  <Company>Setac Europe</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abstract for the SETAC Europe 14th LCA CSS to be held in Göteborg, Sweden</dc:title>
  <dc:creator>katrien</dc:creator>
  <cp:lastModifiedBy>Christophe</cp:lastModifiedBy>
  <cp:revision>2</cp:revision>
  <cp:lastPrinted>2015-07-16T11:21:00Z</cp:lastPrinted>
  <dcterms:created xsi:type="dcterms:W3CDTF">2019-04-03T15:57:00Z</dcterms:created>
  <dcterms:modified xsi:type="dcterms:W3CDTF">2019-04-03T15:57:00Z</dcterms:modified>
</cp:coreProperties>
</file>