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56492" w14:textId="77777777" w:rsidR="00050ABE" w:rsidRPr="001167BA" w:rsidRDefault="00C44B40" w:rsidP="001167BA">
      <w:pPr>
        <w:pStyle w:val="Titre"/>
        <w:spacing w:after="0" w:line="276" w:lineRule="auto"/>
        <w:jc w:val="center"/>
        <w:rPr>
          <w:lang w:val="en-US"/>
        </w:rPr>
      </w:pPr>
      <w:bookmarkStart w:id="0" w:name="_GoBack"/>
      <w:bookmarkEnd w:id="0"/>
      <w:r>
        <w:t>Pickering emulsions stabilized by colloidal lipid particles: Potential for high chemical stability?</w:t>
      </w:r>
    </w:p>
    <w:p w14:paraId="65103B63" w14:textId="4E0398CE" w:rsidR="00050ABE" w:rsidRDefault="00C44B40" w:rsidP="001F4651">
      <w:pPr>
        <w:pStyle w:val="Authors"/>
        <w:spacing w:after="0" w:line="276" w:lineRule="auto"/>
        <w:jc w:val="center"/>
        <w:rPr>
          <w:vertAlign w:val="superscript"/>
          <w:lang w:val="nl-NL"/>
        </w:rPr>
      </w:pPr>
      <w:r w:rsidRPr="00C44B40">
        <w:rPr>
          <w:u w:val="single"/>
          <w:lang w:val="nl-NL"/>
        </w:rPr>
        <w:t>Anja Schröder</w:t>
      </w:r>
      <w:r w:rsidR="00050ABE" w:rsidRPr="00C44B40">
        <w:rPr>
          <w:vertAlign w:val="superscript"/>
          <w:lang w:val="nl-NL"/>
        </w:rPr>
        <w:t>1</w:t>
      </w:r>
      <w:r w:rsidR="00EB2280">
        <w:rPr>
          <w:vertAlign w:val="superscript"/>
          <w:lang w:val="nl-NL"/>
        </w:rPr>
        <w:t>,2</w:t>
      </w:r>
      <w:r w:rsidR="00050ABE" w:rsidRPr="00C44B40">
        <w:rPr>
          <w:lang w:val="nl-NL"/>
        </w:rPr>
        <w:t xml:space="preserve">, </w:t>
      </w:r>
      <w:r w:rsidR="00E22F8F">
        <w:rPr>
          <w:lang w:val="nl-NL"/>
        </w:rPr>
        <w:t>Mickaël Laguerre</w:t>
      </w:r>
      <w:r w:rsidR="00E22F8F" w:rsidRPr="00E22F8F">
        <w:rPr>
          <w:vertAlign w:val="superscript"/>
          <w:lang w:val="nl-NL"/>
        </w:rPr>
        <w:t>3</w:t>
      </w:r>
      <w:r w:rsidR="00E22F8F">
        <w:rPr>
          <w:lang w:val="nl-NL"/>
        </w:rPr>
        <w:t xml:space="preserve">, </w:t>
      </w:r>
      <w:r w:rsidRPr="00C44B40">
        <w:rPr>
          <w:lang w:val="nl-NL"/>
        </w:rPr>
        <w:t xml:space="preserve">Karin </w:t>
      </w:r>
      <w:r w:rsidR="00EB2280" w:rsidRPr="00C44B40">
        <w:rPr>
          <w:lang w:val="nl-NL"/>
        </w:rPr>
        <w:t>Schroën</w:t>
      </w:r>
      <w:r w:rsidR="00EB2280">
        <w:rPr>
          <w:vertAlign w:val="superscript"/>
          <w:lang w:val="nl-NL"/>
        </w:rPr>
        <w:t>1</w:t>
      </w:r>
      <w:r w:rsidR="00050ABE" w:rsidRPr="00C44B40">
        <w:rPr>
          <w:lang w:val="nl-NL"/>
        </w:rPr>
        <w:t xml:space="preserve">, </w:t>
      </w:r>
      <w:r w:rsidRPr="00C44B40">
        <w:rPr>
          <w:lang w:val="nl-NL"/>
        </w:rPr>
        <w:t xml:space="preserve">Joris </w:t>
      </w:r>
      <w:r w:rsidR="00EB2280" w:rsidRPr="00C44B40">
        <w:rPr>
          <w:lang w:val="nl-NL"/>
        </w:rPr>
        <w:t>Sprakel</w:t>
      </w:r>
      <w:r w:rsidR="00EB2280">
        <w:rPr>
          <w:vertAlign w:val="superscript"/>
          <w:lang w:val="nl-NL"/>
        </w:rPr>
        <w:t>2</w:t>
      </w:r>
      <w:r w:rsidR="00EB2280" w:rsidRPr="00C44B40">
        <w:rPr>
          <w:lang w:val="nl-NL"/>
        </w:rPr>
        <w:t xml:space="preserve"> </w:t>
      </w:r>
      <w:r w:rsidR="00050ABE" w:rsidRPr="00C44B40">
        <w:rPr>
          <w:lang w:val="nl-NL"/>
        </w:rPr>
        <w:t xml:space="preserve">and </w:t>
      </w:r>
      <w:r>
        <w:rPr>
          <w:lang w:val="nl-NL"/>
        </w:rPr>
        <w:t>Claire Berton-</w:t>
      </w:r>
      <w:r w:rsidR="00EB2280">
        <w:rPr>
          <w:lang w:val="nl-NL"/>
        </w:rPr>
        <w:t>Carabin</w:t>
      </w:r>
      <w:r w:rsidR="00EB2280">
        <w:rPr>
          <w:vertAlign w:val="superscript"/>
          <w:lang w:val="nl-NL"/>
        </w:rPr>
        <w:t>1</w:t>
      </w:r>
    </w:p>
    <w:p w14:paraId="3AC32998" w14:textId="77777777" w:rsidR="00F7238F" w:rsidRPr="00C44B40" w:rsidRDefault="00F7238F" w:rsidP="001F4651">
      <w:pPr>
        <w:pStyle w:val="Authors"/>
        <w:spacing w:after="0" w:line="276" w:lineRule="auto"/>
        <w:jc w:val="center"/>
        <w:rPr>
          <w:vertAlign w:val="superscript"/>
          <w:lang w:val="nl-NL"/>
        </w:rPr>
      </w:pPr>
    </w:p>
    <w:p w14:paraId="6C1F83E2" w14:textId="4F978149" w:rsidR="00F7238F" w:rsidRPr="00F7238F" w:rsidRDefault="00EB2280" w:rsidP="00F7238F">
      <w:pPr>
        <w:pStyle w:val="Affiliation"/>
        <w:rPr>
          <w:b/>
        </w:rPr>
      </w:pPr>
      <w:r>
        <w:rPr>
          <w:b/>
          <w:vertAlign w:val="superscript"/>
        </w:rPr>
        <w:t>1</w:t>
      </w:r>
      <w:r w:rsidRPr="00F7238F">
        <w:rPr>
          <w:b/>
        </w:rPr>
        <w:t xml:space="preserve"> </w:t>
      </w:r>
      <w:r w:rsidR="00F7238F" w:rsidRPr="00F7238F">
        <w:rPr>
          <w:b/>
        </w:rPr>
        <w:t>Laboratory of Food Process Engineering, Wageningen University and Research, Bornse10 Weilanden 9, 6708 WG Wageningen, The Netherlands.</w:t>
      </w:r>
    </w:p>
    <w:p w14:paraId="101362E0" w14:textId="4509123E" w:rsidR="00F7238F" w:rsidRDefault="00EB2280" w:rsidP="00F7238F">
      <w:pPr>
        <w:pStyle w:val="Affiliation"/>
        <w:rPr>
          <w:b/>
        </w:rPr>
      </w:pPr>
      <w:r>
        <w:rPr>
          <w:b/>
          <w:vertAlign w:val="superscript"/>
        </w:rPr>
        <w:t>2</w:t>
      </w:r>
      <w:r w:rsidRPr="00F7238F">
        <w:rPr>
          <w:b/>
        </w:rPr>
        <w:t xml:space="preserve"> </w:t>
      </w:r>
      <w:r w:rsidR="00F7238F" w:rsidRPr="00F7238F">
        <w:rPr>
          <w:b/>
        </w:rPr>
        <w:t>Laboratory of Physical Chemistry and Soft Matter, Wageningen University and Research,12 Stippeneng 4, 6708 WE Wageningen, The Netherlands.</w:t>
      </w:r>
    </w:p>
    <w:p w14:paraId="080DB2E6" w14:textId="48FB1C28" w:rsidR="00E22F8F" w:rsidRPr="00F7238F" w:rsidRDefault="00E22F8F" w:rsidP="00F7238F">
      <w:pPr>
        <w:pStyle w:val="Affiliation"/>
        <w:rPr>
          <w:b/>
        </w:rPr>
      </w:pPr>
      <w:r w:rsidRPr="00E22F8F">
        <w:rPr>
          <w:b/>
          <w:vertAlign w:val="superscript"/>
        </w:rPr>
        <w:t>3</w:t>
      </w:r>
      <w:r>
        <w:rPr>
          <w:b/>
        </w:rPr>
        <w:t xml:space="preserve"> </w:t>
      </w:r>
      <w:r w:rsidRPr="00E22F8F">
        <w:rPr>
          <w:b/>
        </w:rPr>
        <w:t>Naturex SA, Science and Technology Department, 250 rue Pierre Bayle, 84911 Avignon cedex 9, France</w:t>
      </w:r>
    </w:p>
    <w:p w14:paraId="66415BE2" w14:textId="77777777" w:rsidR="007A1427" w:rsidRPr="00E60578" w:rsidRDefault="00050ABE" w:rsidP="001F4651">
      <w:pPr>
        <w:pStyle w:val="Affiliation"/>
        <w:spacing w:line="276" w:lineRule="auto"/>
        <w:jc w:val="center"/>
        <w:rPr>
          <w:lang w:val="en-US"/>
        </w:rPr>
      </w:pPr>
      <w:r w:rsidRPr="00E60578">
        <w:rPr>
          <w:lang w:val="en-US"/>
        </w:rPr>
        <w:t>E</w:t>
      </w:r>
      <w:r w:rsidR="0031629B" w:rsidRPr="00E60578">
        <w:rPr>
          <w:lang w:val="en-US"/>
        </w:rPr>
        <w:t>-</w:t>
      </w:r>
      <w:r w:rsidRPr="00E60578">
        <w:rPr>
          <w:lang w:val="en-US"/>
        </w:rPr>
        <w:t>mail contact:</w:t>
      </w:r>
      <w:r w:rsidR="00F7238F" w:rsidRPr="00E60578">
        <w:rPr>
          <w:lang w:val="en-US"/>
        </w:rPr>
        <w:t xml:space="preserve"> anja.schroder@wur.nl</w:t>
      </w:r>
    </w:p>
    <w:p w14:paraId="746ECE21" w14:textId="77777777" w:rsidR="00355271" w:rsidRPr="00E60578" w:rsidRDefault="00355271" w:rsidP="001F4651">
      <w:pPr>
        <w:spacing w:after="0"/>
        <w:rPr>
          <w:lang w:val="en-US"/>
        </w:rPr>
      </w:pPr>
    </w:p>
    <w:p w14:paraId="59E6D0CE" w14:textId="0EDD224F" w:rsidR="000543D1" w:rsidRPr="00853602" w:rsidRDefault="008F7370" w:rsidP="00853602">
      <w:pPr>
        <w:ind w:right="34"/>
      </w:pPr>
      <w:r>
        <w:t xml:space="preserve">Many food, pharmaceutical, cosmetic, </w:t>
      </w:r>
      <w:r w:rsidR="006966E2">
        <w:t xml:space="preserve">and </w:t>
      </w:r>
      <w:r>
        <w:t>agrochemical products exist as</w:t>
      </w:r>
      <w:r w:rsidRPr="00DA4B68">
        <w:t xml:space="preserve"> </w:t>
      </w:r>
      <w:r>
        <w:t>dispersions of immiscible liquids (typically</w:t>
      </w:r>
      <w:r w:rsidR="006966E2">
        <w:t>,</w:t>
      </w:r>
      <w:r>
        <w:t xml:space="preserve"> oil and water), i.e., are emulsions. These emulsion products may undergo a range of physical and chemical destabilization events over their production, storage and end-use. </w:t>
      </w:r>
      <w:r w:rsidR="000543D1">
        <w:t xml:space="preserve">Pickering emulsions have shown to provide definite advantages with respect to physical stability of emulsions compared to conventional </w:t>
      </w:r>
      <w:proofErr w:type="gramStart"/>
      <w:r w:rsidR="000543D1">
        <w:t>emulsifiers, and</w:t>
      </w:r>
      <w:proofErr w:type="gramEnd"/>
      <w:r w:rsidR="000543D1">
        <w:t xml:space="preserve"> are emerging in the food area. </w:t>
      </w:r>
      <w:r w:rsidR="006966E2">
        <w:t xml:space="preserve">In addition to controlling the physical stability of food emulsions, preventing adverse chemical degradation is also a challenge, </w:t>
      </w:r>
      <w:proofErr w:type="gramStart"/>
      <w:r w:rsidR="006966E2">
        <w:t>and in particular, oxidation</w:t>
      </w:r>
      <w:proofErr w:type="gramEnd"/>
      <w:r w:rsidR="006966E2">
        <w:t xml:space="preserve"> of the unsaturated lipids. Often, lipid oxidation </w:t>
      </w:r>
      <w:r w:rsidR="000543D1">
        <w:t xml:space="preserve">in emulsions is tentatively </w:t>
      </w:r>
      <w:r w:rsidR="006966E2">
        <w:t xml:space="preserve">prevented </w:t>
      </w:r>
      <w:r w:rsidR="004B6197">
        <w:t>by</w:t>
      </w:r>
      <w:r w:rsidR="006966E2">
        <w:t xml:space="preserve"> using oil-soluble</w:t>
      </w:r>
      <w:r w:rsidR="004B6197">
        <w:t xml:space="preserve"> antioxidants (e.g., tocopherols). These components are highly hydrophobic and therefore located inside the oil droplet</w:t>
      </w:r>
      <w:r w:rsidR="0018712F">
        <w:t>s</w:t>
      </w:r>
      <w:r w:rsidR="004B6197">
        <w:t xml:space="preserve">. However, lipid oxidation is initiated at the oil-water interface, so the efficiency of </w:t>
      </w:r>
      <w:r w:rsidR="006966E2">
        <w:t xml:space="preserve">these </w:t>
      </w:r>
      <w:r w:rsidR="004B6197">
        <w:t>antioxidants is far from optimal and could be enhanced when present at the interface</w:t>
      </w:r>
      <w:r w:rsidR="00EB2280">
        <w:t xml:space="preserve"> </w:t>
      </w:r>
      <w:r w:rsidR="00EB2280">
        <w:fldChar w:fldCharType="begin" w:fldLock="1"/>
      </w:r>
      <w:r w:rsidR="00B92D08">
        <w:instrText>ADDIN CSL_CITATION {"citationItems":[{"id":"ITEM-1","itemData":{"DOI":"10.1080/10408398.2011.650335","ISBN":"1040-8398","ISSN":"1549-7852","PMID":"24915410","abstract":"The polar paradox states that polar antioxidants are more active in bulk lipids than their nonpolar counterparts, whereas nonpolar antioxidants are more effective in oil-in-water emulsion than their polar homologs. However, recent results, showing that not all antioxidants behave in a manner proposed by this hypothesis in oil and emulsion, lead us to revisit the polar paradox and to put forward new concepts, hypotheses, and theories. In bulk oil, new evidences have been brought to demonstrate that the crucial site of oxidation is not the air-oil interface, as postulated by the polar paradox, but association colloids formed with traces of water and surface active molecules such as phospholipids. The role of these association colloids on lipid oxidation and its inhibition by antioxidant is also addressed as well as the complex influence of the hydrophobicity on the ability of antioxidants to protect lipids from oxidation. In oil-in water emulsion, we have covered the recently discovered non linear (or cut-off) influence of the hydrophobicity on antioxidant capacity. For the first time, different mechanisms of action are formulated in details to try to account for this nonlinear effect. As suggested by the great amount of biological studies showing a cut-off effect, this phenomenon could be widespread in dispersed lipid systems including emulsions and liposomes as well as in living systems such as cultured cells. Works on the cut-off effect paves the way for the determination of the critical chain length which corresponds to the threshold beyond which antioxidant capacity suddenly collapses. The systematic search for this new physico-chemical parameter will allow designing novel phenolipids and other amphiphilic antioxidants in a rational fashion. Finally, in both bulk oils and emulsions, we feel that it is now time for a paradigm shift from the polar paradox to the next theories.","author":[{"dropping-particle":"","family":"Laguerre","given":"Mickaël","non-dropping-particle":"","parse-names":false,"suffix":""},{"dropping-particle":"","family":"Bayrasy","given":"Christelle","non-dropping-particle":"","parse-names":false,"suffix":""},{"dropping-particle":"","family":"Panya","given":"Atikorn","non-dropping-particle":"","parse-names":false,"suffix":""},{"dropping-particle":"","family":"Weiss","given":"Jochen","non-dropping-particle":"","parse-names":false,"suffix":""},{"dropping-particle":"","family":"McClements","given":"D Julian","non-dropping-particle":"","parse-names":false,"suffix":""},{"dropping-particle":"","family":"Lecomte","given":"Jérôme","non-dropping-particle":"","parse-names":false,"suffix":""},{"dropping-particle":"","family":"Decker","given":"Eric a","non-dropping-particle":"","parse-names":false,"suffix":""},{"dropping-particle":"","family":"Villeneuve","given":"Pierre","non-dropping-particle":"","parse-names":false,"suffix":""}],"container-title":"Critical Reviews in Food Science and Nutrition","id":"ITEM-1","issue":"2","issued":{"date-parts":[["2015"]]},"page":"183-201","title":"What makes good antioxidants in lipid-based systems? The next theories beyond the polar paradox","type":"article-journal","volume":"55"},"uris":["http://www.mendeley.com/documents/?uuid=49dfd618-642c-4122-9df9-70f05543726d"]}],"mendeley":{"formattedCitation":"[1]","plainTextFormattedCitation":"[1]","previouslyFormattedCitation":"[1]"},"properties":{"noteIndex":0},"schema":"https://github.com/citation-style-language/schema/raw/master/csl-citation.json"}</w:instrText>
      </w:r>
      <w:r w:rsidR="00EB2280">
        <w:fldChar w:fldCharType="separate"/>
      </w:r>
      <w:r w:rsidR="00C72407" w:rsidRPr="00C72407">
        <w:rPr>
          <w:noProof/>
        </w:rPr>
        <w:t>[1]</w:t>
      </w:r>
      <w:r w:rsidR="00EB2280">
        <w:fldChar w:fldCharType="end"/>
      </w:r>
      <w:r w:rsidR="004B6197">
        <w:t xml:space="preserve">. </w:t>
      </w:r>
      <w:r w:rsidR="006966E2">
        <w:t>A way to achieve this could be to entrap antioxidants within Pickering particles, thus locating them at the droplet surface. In the present work,</w:t>
      </w:r>
      <w:r w:rsidR="00FD6DE9">
        <w:t xml:space="preserve"> we s</w:t>
      </w:r>
      <w:r w:rsidR="004142DC">
        <w:t xml:space="preserve">tudy lipid oxidation in two </w:t>
      </w:r>
      <w:r w:rsidR="00FD6DE9">
        <w:t>Pickering</w:t>
      </w:r>
      <w:r w:rsidR="004142DC">
        <w:t xml:space="preserve"> emulsions stabilized by colloidal lipid particles</w:t>
      </w:r>
      <w:r w:rsidR="00FD6DE9">
        <w:t xml:space="preserve"> (CLP</w:t>
      </w:r>
      <w:r w:rsidR="006966E2">
        <w:t>s</w:t>
      </w:r>
      <w:r w:rsidR="00FD6DE9">
        <w:t>)</w:t>
      </w:r>
      <w:r w:rsidR="0018712F">
        <w:t xml:space="preserve"> </w:t>
      </w:r>
      <w:r w:rsidR="00EB2280">
        <w:fldChar w:fldCharType="begin" w:fldLock="1"/>
      </w:r>
      <w:r w:rsidR="00B92D08">
        <w:instrText>ADDIN CSL_CITATION {"citationItems":[{"id":"ITEM-1","itemData":{"DOI":"10.1039/C6SM02432G","ISSN":"1744-683X","author":[{"dropping-particle":"","family":"Schröder","given":"A.","non-dropping-particle":"","parse-names":false,"suffix":""},{"dropping-particle":"","family":"Sprakel","given":"J.","non-dropping-particle":"","parse-names":false,"suffix":""},{"dropping-particle":"","family":"Schroën","given":"K.","non-dropping-particle":"","parse-names":false,"suffix":""},{"dropping-particle":"","family":"Berton-Carabin","given":"C.","non-dropping-particle":"","parse-names":false,"suffix":""}],"container-title":"Soft Matter","id":"ITEM-1","issued":{"date-parts":[["2017"]]},"page":"3190-3198","title":"Tailored Microstructure of Colloidal Lipid Particles for Pickering Emulsions with Tunable Properties","type":"article-journal"},"uris":["http://www.mendeley.com/documents/?uuid=a241819a-9fd7-4f4c-9206-3af9e1c8ea2e"]}],"mendeley":{"formattedCitation":"[2]","plainTextFormattedCitation":"[2]","previouslyFormattedCitation":"[2]"},"properties":{"noteIndex":0},"schema":"https://github.com/citation-style-language/schema/raw/master/csl-citation.json"}</w:instrText>
      </w:r>
      <w:r w:rsidR="00EB2280">
        <w:fldChar w:fldCharType="separate"/>
      </w:r>
      <w:r w:rsidR="00C72407" w:rsidRPr="00C72407">
        <w:rPr>
          <w:noProof/>
        </w:rPr>
        <w:t>[2]</w:t>
      </w:r>
      <w:r w:rsidR="00EB2280">
        <w:fldChar w:fldCharType="end"/>
      </w:r>
      <w:r w:rsidR="004142DC">
        <w:t>, with the e</w:t>
      </w:r>
      <w:r w:rsidR="00FD6DE9">
        <w:t>xact same composition, but with a different physical location of the antioxidant</w:t>
      </w:r>
      <w:r w:rsidR="0018712F">
        <w:t xml:space="preserve"> </w:t>
      </w:r>
      <w:r w:rsidR="006966E2">
        <w:sym w:font="Symbol" w:char="F061"/>
      </w:r>
      <w:r w:rsidR="0018712F">
        <w:t>-tocopherol</w:t>
      </w:r>
      <w:r w:rsidR="006966E2">
        <w:t>: either</w:t>
      </w:r>
      <w:r w:rsidR="00FD6DE9">
        <w:t xml:space="preserve"> </w:t>
      </w:r>
      <w:r w:rsidR="006966E2">
        <w:t>with</w:t>
      </w:r>
      <w:r w:rsidR="00FD6DE9">
        <w:t>in the CLP</w:t>
      </w:r>
      <w:r w:rsidR="006966E2">
        <w:t>s (Figure 1, left),</w:t>
      </w:r>
      <w:r w:rsidR="00FD6DE9">
        <w:t xml:space="preserve"> or in the core of the oil droplet</w:t>
      </w:r>
      <w:r w:rsidR="006966E2">
        <w:t>s (Figure 1, right)</w:t>
      </w:r>
      <w:r w:rsidR="00FD6DE9">
        <w:t xml:space="preserve">. </w:t>
      </w:r>
      <w:r w:rsidR="00853602">
        <w:t>Pickering emulsions containing the antioxidant in the CLP</w:t>
      </w:r>
      <w:r w:rsidR="006966E2">
        <w:t>s</w:t>
      </w:r>
      <w:r w:rsidR="00853602">
        <w:t xml:space="preserve"> oxidi</w:t>
      </w:r>
      <w:r w:rsidR="006966E2">
        <w:t>z</w:t>
      </w:r>
      <w:r w:rsidR="00853602">
        <w:t xml:space="preserve">e slower </w:t>
      </w:r>
      <w:r w:rsidR="006966E2">
        <w:t>and to a lesser extent</w:t>
      </w:r>
      <w:r w:rsidR="00853602">
        <w:t xml:space="preserve"> compared to </w:t>
      </w:r>
      <w:r w:rsidR="006966E2">
        <w:t xml:space="preserve">Pickering </w:t>
      </w:r>
      <w:r w:rsidR="00853602">
        <w:t>emulsions containing the antioxidant in the core of the droplet</w:t>
      </w:r>
      <w:r w:rsidR="00A641B1">
        <w:t xml:space="preserve"> </w:t>
      </w:r>
      <w:r w:rsidR="00B92D08">
        <w:fldChar w:fldCharType="begin" w:fldLock="1"/>
      </w:r>
      <w:r w:rsidR="00B92D08">
        <w:instrText>ADDIN CSL_CITATION {"citationItems":[{"id":"ITEM-1","itemData":{"author":[{"dropping-particle":"","family":"Berton-Carabin","given":"Albertine Johanneke Schröder; Mickaël Laguerre; Joris Henricus Bernadus Sprakel; Simona Birtic; Catharina Gerarda Petronella Henrica Schroën; Claire","non-dropping-particle":"","parse-names":false,"suffix":""}],"id":"ITEM-1","issued":{"date-parts":[["0"]]},"title":"Patent Application Number 1810850.6 UK","type":"patent"},"uris":["http://www.mendeley.com/documents/?uuid=7a66ae48-a267-41da-8d78-6df1b940001d"]}],"mendeley":{"formattedCitation":"[3]","plainTextFormattedCitation":"[3]"},"properties":{"noteIndex":0},"schema":"https://github.com/citation-style-language/schema/raw/master/csl-citation.json"}</w:instrText>
      </w:r>
      <w:r w:rsidR="00B92D08">
        <w:fldChar w:fldCharType="separate"/>
      </w:r>
      <w:r w:rsidR="00B92D08" w:rsidRPr="00B92D08">
        <w:rPr>
          <w:noProof/>
        </w:rPr>
        <w:t>[3]</w:t>
      </w:r>
      <w:r w:rsidR="00B92D08">
        <w:fldChar w:fldCharType="end"/>
      </w:r>
      <w:r w:rsidR="00853602">
        <w:t>.</w:t>
      </w:r>
      <w:r w:rsidR="006966E2">
        <w:t xml:space="preserve"> Although</w:t>
      </w:r>
      <w:r w:rsidR="0018712F">
        <w:t>,</w:t>
      </w:r>
      <w:r w:rsidR="006966E2">
        <w:t xml:space="preserve"> </w:t>
      </w:r>
      <w:r w:rsidR="0018712F">
        <w:t xml:space="preserve">according to our initial hypothesis, </w:t>
      </w:r>
      <w:r w:rsidR="006966E2">
        <w:t>the interfacial localization of CLP-entrapped antioxidant may explain these results, other possible mechanisms are currently under consideration, such as the possibility that antioxidant-loaded CLPs would behave as an antioxidant reservoir with progressive release in time.</w:t>
      </w:r>
      <w:r w:rsidR="00853602" w:rsidRPr="00853602">
        <w:t xml:space="preserve"> </w:t>
      </w:r>
      <w:r w:rsidR="006966E2">
        <w:t xml:space="preserve">This work </w:t>
      </w:r>
      <w:proofErr w:type="gramStart"/>
      <w:r w:rsidR="00853602" w:rsidRPr="00853602">
        <w:t>opens up</w:t>
      </w:r>
      <w:proofErr w:type="gramEnd"/>
      <w:r w:rsidR="00853602" w:rsidRPr="00853602">
        <w:t xml:space="preserve"> new perspectives to develop physically and chemically stable food emulsions with high levels of unsaturated lipids, and </w:t>
      </w:r>
      <w:r w:rsidR="006966E2">
        <w:t>optimized</w:t>
      </w:r>
      <w:r w:rsidR="006966E2" w:rsidRPr="00853602">
        <w:t xml:space="preserve"> </w:t>
      </w:r>
      <w:r w:rsidR="00853602" w:rsidRPr="00853602">
        <w:t>levels of antioxidants.</w:t>
      </w:r>
    </w:p>
    <w:p w14:paraId="06E562C1" w14:textId="309E5947" w:rsidR="0061510E" w:rsidRDefault="0061510E" w:rsidP="001F4651">
      <w:pPr>
        <w:spacing w:after="0"/>
        <w:jc w:val="center"/>
        <w:rPr>
          <w:noProof/>
          <w:lang w:val="en-US"/>
        </w:rPr>
      </w:pPr>
    </w:p>
    <w:p w14:paraId="290A3984" w14:textId="2C1DBE6B" w:rsidR="00C44B40" w:rsidRDefault="00C44B40" w:rsidP="00C44B40">
      <w:pPr>
        <w:rPr>
          <w:rFonts w:ascii="Times New Roman" w:hAnsi="Times New Roman"/>
          <w:sz w:val="24"/>
          <w:lang w:val="en-US"/>
        </w:rPr>
      </w:pPr>
      <w:r w:rsidRPr="00BB669F">
        <w:rPr>
          <w:noProof/>
          <w:lang w:eastAsia="en-GB"/>
        </w:rPr>
        <w:drawing>
          <wp:inline distT="0" distB="0" distL="0" distR="0" wp14:anchorId="5CBCDE7C" wp14:editId="46B8F363">
            <wp:extent cx="2456638" cy="2133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9108" cy="2144431"/>
                    </a:xfrm>
                    <a:prstGeom prst="rect">
                      <a:avLst/>
                    </a:prstGeom>
                    <a:noFill/>
                    <a:ln>
                      <a:noFill/>
                    </a:ln>
                  </pic:spPr>
                </pic:pic>
              </a:graphicData>
            </a:graphic>
          </wp:inline>
        </w:drawing>
      </w:r>
      <w:r>
        <w:rPr>
          <w:rFonts w:ascii="Times New Roman" w:hAnsi="Times New Roman"/>
          <w:sz w:val="24"/>
          <w:lang w:val="en-US"/>
        </w:rPr>
        <w:t xml:space="preserve"> </w:t>
      </w:r>
      <w:r w:rsidRPr="00BB669F">
        <w:rPr>
          <w:noProof/>
          <w:lang w:eastAsia="en-GB"/>
        </w:rPr>
        <w:drawing>
          <wp:inline distT="0" distB="0" distL="0" distR="0" wp14:anchorId="050C5863" wp14:editId="422A21EB">
            <wp:extent cx="2467901" cy="2133720"/>
            <wp:effectExtent l="0" t="0" r="889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7901" cy="2133720"/>
                    </a:xfrm>
                    <a:prstGeom prst="rect">
                      <a:avLst/>
                    </a:prstGeom>
                    <a:noFill/>
                    <a:ln>
                      <a:noFill/>
                    </a:ln>
                  </pic:spPr>
                </pic:pic>
              </a:graphicData>
            </a:graphic>
          </wp:inline>
        </w:drawing>
      </w:r>
    </w:p>
    <w:p w14:paraId="084D47A9" w14:textId="7380DF2B" w:rsidR="001F4651" w:rsidRPr="00C44B40" w:rsidRDefault="0021734E" w:rsidP="00C44B40">
      <w:pPr>
        <w:pStyle w:val="Lgende"/>
        <w:spacing w:after="0"/>
        <w:rPr>
          <w:noProof/>
          <w:lang w:val="en-US"/>
        </w:rPr>
      </w:pPr>
      <w:bookmarkStart w:id="1" w:name="_Ref179171491"/>
      <w:r w:rsidRPr="003D32E9">
        <w:t xml:space="preserve">Figure </w:t>
      </w:r>
      <w:bookmarkEnd w:id="1"/>
      <w:r w:rsidR="00C44B40">
        <w:t>1</w:t>
      </w:r>
      <w:r w:rsidR="003D32E9">
        <w:t xml:space="preserve">: </w:t>
      </w:r>
      <w:r w:rsidR="006966E2">
        <w:t>Schematic</w:t>
      </w:r>
      <w:r w:rsidR="006966E2" w:rsidRPr="00C44B40">
        <w:t xml:space="preserve"> </w:t>
      </w:r>
      <w:r w:rsidR="00C44B40" w:rsidRPr="00C44B40">
        <w:t xml:space="preserve">representation of CLP-stabilized Pickering </w:t>
      </w:r>
      <w:r w:rsidR="0018712F">
        <w:t>oil-in-water</w:t>
      </w:r>
      <w:r w:rsidR="00C44B40" w:rsidRPr="00C44B40">
        <w:t xml:space="preserve"> emulsions: (</w:t>
      </w:r>
      <w:r w:rsidR="006966E2">
        <w:t>left</w:t>
      </w:r>
      <w:r w:rsidR="00C44B40" w:rsidRPr="00C44B40">
        <w:t>) with α-tocopherol incorporated in the particles and (</w:t>
      </w:r>
      <w:r w:rsidR="00A641B1">
        <w:t>right</w:t>
      </w:r>
      <w:r w:rsidR="00C44B40" w:rsidRPr="00C44B40">
        <w:t>) with α-tocopherol in the liquid oil droplets.</w:t>
      </w:r>
    </w:p>
    <w:p w14:paraId="17C2D58B" w14:textId="50CB1B05" w:rsidR="00F82D91" w:rsidRPr="00F82D91" w:rsidRDefault="00F82D91" w:rsidP="001F4651">
      <w:pPr>
        <w:spacing w:after="0"/>
        <w:rPr>
          <w:noProof/>
        </w:rPr>
      </w:pPr>
    </w:p>
    <w:p w14:paraId="28870359" w14:textId="77777777" w:rsidR="00050ABE" w:rsidRPr="009E3D9D" w:rsidRDefault="00050ABE" w:rsidP="001F4651">
      <w:pPr>
        <w:pStyle w:val="Sous-titre"/>
        <w:spacing w:after="0"/>
      </w:pPr>
      <w:r w:rsidRPr="009E3D9D">
        <w:t>References</w:t>
      </w:r>
    </w:p>
    <w:p w14:paraId="4711AA50" w14:textId="55718AEE" w:rsidR="00B92D08" w:rsidRPr="009E3D9D" w:rsidRDefault="00C72407" w:rsidP="00B92D08">
      <w:pPr>
        <w:widowControl w:val="0"/>
        <w:autoSpaceDE w:val="0"/>
        <w:autoSpaceDN w:val="0"/>
        <w:adjustRightInd w:val="0"/>
        <w:spacing w:after="0"/>
        <w:ind w:left="640" w:hanging="640"/>
        <w:rPr>
          <w:rFonts w:cs="Arial"/>
          <w:noProof/>
          <w:sz w:val="16"/>
        </w:rPr>
      </w:pPr>
      <w:r w:rsidRPr="009E3D9D">
        <w:rPr>
          <w:sz w:val="16"/>
        </w:rPr>
        <w:fldChar w:fldCharType="begin" w:fldLock="1"/>
      </w:r>
      <w:r w:rsidRPr="009E3D9D">
        <w:rPr>
          <w:sz w:val="16"/>
        </w:rPr>
        <w:instrText xml:space="preserve">ADDIN Mendeley Bibliography CSL_BIBLIOGRAPHY </w:instrText>
      </w:r>
      <w:r w:rsidRPr="009E3D9D">
        <w:rPr>
          <w:sz w:val="16"/>
        </w:rPr>
        <w:fldChar w:fldCharType="separate"/>
      </w:r>
      <w:r w:rsidR="00B92D08" w:rsidRPr="009E3D9D">
        <w:rPr>
          <w:rFonts w:cs="Arial"/>
          <w:noProof/>
          <w:sz w:val="16"/>
        </w:rPr>
        <w:t>[1]</w:t>
      </w:r>
      <w:r w:rsidR="00B92D08" w:rsidRPr="009E3D9D">
        <w:rPr>
          <w:rFonts w:cs="Arial"/>
          <w:noProof/>
          <w:sz w:val="16"/>
        </w:rPr>
        <w:tab/>
        <w:t xml:space="preserve">M. Laguerre, C. Bayrasy, A. Panya, J. Weiss, D. J. McClements, J. Lecomte, E. a Decker, and P. Villeneuve, “What makes good antioxidants in lipid-based systems? The next theories beyond the polar paradox,” </w:t>
      </w:r>
      <w:r w:rsidR="00B92D08" w:rsidRPr="009E3D9D">
        <w:rPr>
          <w:rFonts w:cs="Arial"/>
          <w:i/>
          <w:iCs/>
          <w:noProof/>
          <w:sz w:val="16"/>
        </w:rPr>
        <w:t>Crit. Rev. Food Sci. Nutr.</w:t>
      </w:r>
      <w:r w:rsidR="00B92D08" w:rsidRPr="009E3D9D">
        <w:rPr>
          <w:rFonts w:cs="Arial"/>
          <w:noProof/>
          <w:sz w:val="16"/>
        </w:rPr>
        <w:t>, vol. 55, no. 2, pp. 183–201, 2015.</w:t>
      </w:r>
    </w:p>
    <w:p w14:paraId="0BBFA844" w14:textId="77777777" w:rsidR="00B92D08" w:rsidRPr="009E3D9D" w:rsidRDefault="00B92D08" w:rsidP="00B92D08">
      <w:pPr>
        <w:widowControl w:val="0"/>
        <w:autoSpaceDE w:val="0"/>
        <w:autoSpaceDN w:val="0"/>
        <w:adjustRightInd w:val="0"/>
        <w:spacing w:after="0"/>
        <w:ind w:left="640" w:hanging="640"/>
        <w:rPr>
          <w:rFonts w:cs="Arial"/>
          <w:noProof/>
          <w:sz w:val="16"/>
        </w:rPr>
      </w:pPr>
      <w:r w:rsidRPr="009E3D9D">
        <w:rPr>
          <w:rFonts w:cs="Arial"/>
          <w:noProof/>
          <w:sz w:val="16"/>
        </w:rPr>
        <w:t>[2]</w:t>
      </w:r>
      <w:r w:rsidRPr="009E3D9D">
        <w:rPr>
          <w:rFonts w:cs="Arial"/>
          <w:noProof/>
          <w:sz w:val="16"/>
        </w:rPr>
        <w:tab/>
        <w:t xml:space="preserve">A. Schröder, J. Sprakel, K. Schroën, and C. Berton-Carabin, “Tailored Microstructure of Colloidal Lipid Particles for Pickering Emulsions with Tunable Properties,” </w:t>
      </w:r>
      <w:r w:rsidRPr="009E3D9D">
        <w:rPr>
          <w:rFonts w:cs="Arial"/>
          <w:i/>
          <w:iCs/>
          <w:noProof/>
          <w:sz w:val="16"/>
        </w:rPr>
        <w:t>Soft Matter</w:t>
      </w:r>
      <w:r w:rsidRPr="009E3D9D">
        <w:rPr>
          <w:rFonts w:cs="Arial"/>
          <w:noProof/>
          <w:sz w:val="16"/>
        </w:rPr>
        <w:t>, pp. 3190–3198, 2017.</w:t>
      </w:r>
    </w:p>
    <w:p w14:paraId="0EFCD2DF" w14:textId="7008AC0C" w:rsidR="00AA5105" w:rsidRPr="009E3D9D" w:rsidRDefault="00B92D08" w:rsidP="00B92D08">
      <w:pPr>
        <w:widowControl w:val="0"/>
        <w:autoSpaceDE w:val="0"/>
        <w:autoSpaceDN w:val="0"/>
        <w:adjustRightInd w:val="0"/>
        <w:spacing w:after="0"/>
        <w:ind w:left="640" w:hanging="640"/>
        <w:rPr>
          <w:sz w:val="16"/>
        </w:rPr>
      </w:pPr>
      <w:r w:rsidRPr="009E3D9D">
        <w:rPr>
          <w:rFonts w:cs="Arial"/>
          <w:noProof/>
          <w:sz w:val="16"/>
        </w:rPr>
        <w:t>[3]</w:t>
      </w:r>
      <w:r w:rsidRPr="009E3D9D">
        <w:rPr>
          <w:rFonts w:cs="Arial"/>
          <w:noProof/>
          <w:sz w:val="16"/>
        </w:rPr>
        <w:tab/>
      </w:r>
      <w:r w:rsidRPr="009E3D9D">
        <w:rPr>
          <w:sz w:val="16"/>
          <w:szCs w:val="17"/>
        </w:rPr>
        <w:t>A.J. Schröder, M. Laguerre, J.H.B. Sprakel, S. Birtic, C.</w:t>
      </w:r>
      <w:r w:rsidR="009123BE" w:rsidRPr="009E3D9D">
        <w:rPr>
          <w:sz w:val="16"/>
          <w:szCs w:val="17"/>
        </w:rPr>
        <w:t>G.P.H.</w:t>
      </w:r>
      <w:r w:rsidRPr="009E3D9D">
        <w:rPr>
          <w:sz w:val="16"/>
          <w:szCs w:val="17"/>
        </w:rPr>
        <w:t xml:space="preserve"> Schroën</w:t>
      </w:r>
      <w:r w:rsidR="009123BE" w:rsidRPr="009E3D9D">
        <w:rPr>
          <w:sz w:val="16"/>
          <w:szCs w:val="17"/>
        </w:rPr>
        <w:t>, C. Berton-Carabin</w:t>
      </w:r>
      <w:r w:rsidRPr="009E3D9D">
        <w:rPr>
          <w:rFonts w:cs="Arial"/>
          <w:noProof/>
          <w:sz w:val="16"/>
        </w:rPr>
        <w:t>, “Patent Application Number 1810850.6 UK.”</w:t>
      </w:r>
      <w:r w:rsidR="00C72407" w:rsidRPr="009E3D9D">
        <w:rPr>
          <w:sz w:val="16"/>
        </w:rPr>
        <w:fldChar w:fldCharType="end"/>
      </w:r>
    </w:p>
    <w:sectPr w:rsidR="00AA5105" w:rsidRPr="009E3D9D" w:rsidSect="00CF6DF7">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4B2B"/>
    <w:multiLevelType w:val="multilevel"/>
    <w:tmpl w:val="FA2C2C34"/>
    <w:lvl w:ilvl="0">
      <w:start w:val="1"/>
      <w:numFmt w:val="decimal"/>
      <w:lvlText w:val="%1."/>
      <w:lvlJc w:val="left"/>
      <w:pPr>
        <w:ind w:left="357" w:hanging="357"/>
      </w:pPr>
      <w:rPr>
        <w:rFonts w:ascii="Arial" w:hAnsi="Arial" w:hint="default"/>
        <w:b/>
        <w:i w:val="0"/>
        <w:sz w:val="24"/>
      </w:rPr>
    </w:lvl>
    <w:lvl w:ilvl="1">
      <w:start w:val="1"/>
      <w:numFmt w:val="decimal"/>
      <w:lvlText w:val="%1.%2."/>
      <w:lvlJc w:val="left"/>
      <w:pPr>
        <w:ind w:left="567" w:hanging="567"/>
      </w:pPr>
      <w:rPr>
        <w:rFonts w:ascii="Arial" w:hAnsi="Arial" w:hint="default"/>
        <w:b/>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D04D62"/>
    <w:multiLevelType w:val="multilevel"/>
    <w:tmpl w:val="B9C8C38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A72986"/>
    <w:multiLevelType w:val="multilevel"/>
    <w:tmpl w:val="00B2F496"/>
    <w:lvl w:ilvl="0">
      <w:start w:val="1"/>
      <w:numFmt w:val="decimal"/>
      <w:lvlText w:val="%1."/>
      <w:lvlJc w:val="left"/>
      <w:pPr>
        <w:ind w:left="357" w:hanging="357"/>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67" w:hanging="567"/>
      </w:pPr>
      <w:rPr>
        <w:rFonts w:ascii="Arial" w:hAnsi="Arial" w:hint="default"/>
        <w:b/>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7A2B73"/>
    <w:multiLevelType w:val="multilevel"/>
    <w:tmpl w:val="B886954E"/>
    <w:lvl w:ilvl="0">
      <w:start w:val="1"/>
      <w:numFmt w:val="decimal"/>
      <w:pStyle w:val="Titre1"/>
      <w:lvlText w:val="%1."/>
      <w:lvlJc w:val="left"/>
      <w:pPr>
        <w:ind w:left="357" w:hanging="357"/>
      </w:pPr>
      <w:rPr>
        <w:rFonts w:cs="Times New Roman"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ind w:left="567" w:hanging="567"/>
      </w:pPr>
      <w:rPr>
        <w:rFonts w:ascii="Arial" w:hAnsi="Arial" w:hint="default"/>
        <w:b/>
        <w:i w:val="0"/>
        <w:sz w:val="22"/>
      </w:rPr>
    </w:lvl>
    <w:lvl w:ilvl="2">
      <w:start w:val="1"/>
      <w:numFmt w:val="decimal"/>
      <w:lvlRestart w:val="1"/>
      <w:pStyle w:val="Titre3"/>
      <w:lvlText w:val="%1.%2.%3."/>
      <w:lvlJc w:val="left"/>
      <w:pPr>
        <w:ind w:left="851" w:hanging="851"/>
      </w:pPr>
      <w:rPr>
        <w:rFonts w:ascii="Arial" w:hAnsi="Arial" w:hint="default"/>
        <w:b/>
        <w:i w:val="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4A0BC7"/>
    <w:multiLevelType w:val="multilevel"/>
    <w:tmpl w:val="6420B8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FD4CD5"/>
    <w:multiLevelType w:val="multilevel"/>
    <w:tmpl w:val="27AA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68963CE"/>
    <w:multiLevelType w:val="multilevel"/>
    <w:tmpl w:val="6420B8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4B7746"/>
    <w:multiLevelType w:val="multilevel"/>
    <w:tmpl w:val="E2742B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cs="Times New Roman"/>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79049F8"/>
    <w:multiLevelType w:val="hybridMultilevel"/>
    <w:tmpl w:val="31B8B3F0"/>
    <w:lvl w:ilvl="0" w:tplc="EE1E8E5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AA4FC5"/>
    <w:multiLevelType w:val="hybridMultilevel"/>
    <w:tmpl w:val="6B9A6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3B71D8"/>
    <w:multiLevelType w:val="multilevel"/>
    <w:tmpl w:val="43DCA3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B793446"/>
    <w:multiLevelType w:val="multilevel"/>
    <w:tmpl w:val="6420B8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F4356BC"/>
    <w:multiLevelType w:val="multilevel"/>
    <w:tmpl w:val="6420B8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FA0424A"/>
    <w:multiLevelType w:val="multilevel"/>
    <w:tmpl w:val="6CA8F2AE"/>
    <w:lvl w:ilvl="0">
      <w:start w:val="1"/>
      <w:numFmt w:val="decimal"/>
      <w:lvlText w:val="%1."/>
      <w:lvlJc w:val="left"/>
      <w:pPr>
        <w:ind w:left="720" w:hanging="360"/>
      </w:pPr>
      <w:rPr>
        <w:rFonts w:hint="default"/>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7307B6A"/>
    <w:multiLevelType w:val="multilevel"/>
    <w:tmpl w:val="5504FC8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1563C07"/>
    <w:multiLevelType w:val="hybridMultilevel"/>
    <w:tmpl w:val="0C36B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9"/>
  </w:num>
  <w:num w:numId="4">
    <w:abstractNumId w:val="2"/>
  </w:num>
  <w:num w:numId="5">
    <w:abstractNumId w:val="8"/>
  </w:num>
  <w:num w:numId="6">
    <w:abstractNumId w:val="11"/>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14"/>
  </w:num>
  <w:num w:numId="14">
    <w:abstractNumId w:val="13"/>
  </w:num>
  <w:num w:numId="15">
    <w:abstractNumId w:val="7"/>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101"/>
    <w:rsid w:val="00000FD8"/>
    <w:rsid w:val="0000206E"/>
    <w:rsid w:val="00050ABE"/>
    <w:rsid w:val="000543D1"/>
    <w:rsid w:val="00081754"/>
    <w:rsid w:val="000A2767"/>
    <w:rsid w:val="000A41B5"/>
    <w:rsid w:val="000A68C5"/>
    <w:rsid w:val="000F73C1"/>
    <w:rsid w:val="001167BA"/>
    <w:rsid w:val="0015325F"/>
    <w:rsid w:val="001850A4"/>
    <w:rsid w:val="0018712F"/>
    <w:rsid w:val="001A666C"/>
    <w:rsid w:val="001B558E"/>
    <w:rsid w:val="001F4651"/>
    <w:rsid w:val="0021734E"/>
    <w:rsid w:val="00224340"/>
    <w:rsid w:val="002C3CF8"/>
    <w:rsid w:val="002D54E1"/>
    <w:rsid w:val="00313961"/>
    <w:rsid w:val="0031432C"/>
    <w:rsid w:val="0031629B"/>
    <w:rsid w:val="00334521"/>
    <w:rsid w:val="0035441B"/>
    <w:rsid w:val="00355271"/>
    <w:rsid w:val="003770AC"/>
    <w:rsid w:val="003D32E9"/>
    <w:rsid w:val="004142DC"/>
    <w:rsid w:val="0047542E"/>
    <w:rsid w:val="004B6197"/>
    <w:rsid w:val="004C2E6F"/>
    <w:rsid w:val="004C314F"/>
    <w:rsid w:val="00522752"/>
    <w:rsid w:val="00550AF8"/>
    <w:rsid w:val="005801AD"/>
    <w:rsid w:val="005C25CC"/>
    <w:rsid w:val="0061510E"/>
    <w:rsid w:val="00650662"/>
    <w:rsid w:val="00654EB5"/>
    <w:rsid w:val="006645A8"/>
    <w:rsid w:val="00682636"/>
    <w:rsid w:val="006966E2"/>
    <w:rsid w:val="007756B9"/>
    <w:rsid w:val="0078356F"/>
    <w:rsid w:val="00784167"/>
    <w:rsid w:val="007A1427"/>
    <w:rsid w:val="007D21B0"/>
    <w:rsid w:val="007E5FCE"/>
    <w:rsid w:val="00817F40"/>
    <w:rsid w:val="00835392"/>
    <w:rsid w:val="008471CC"/>
    <w:rsid w:val="00853602"/>
    <w:rsid w:val="00875609"/>
    <w:rsid w:val="008A7B01"/>
    <w:rsid w:val="008F3319"/>
    <w:rsid w:val="008F7370"/>
    <w:rsid w:val="009123BE"/>
    <w:rsid w:val="00930D51"/>
    <w:rsid w:val="009E3D9D"/>
    <w:rsid w:val="00A56EDA"/>
    <w:rsid w:val="00A641B1"/>
    <w:rsid w:val="00A716AB"/>
    <w:rsid w:val="00AA455F"/>
    <w:rsid w:val="00AA5105"/>
    <w:rsid w:val="00AD71F2"/>
    <w:rsid w:val="00B14843"/>
    <w:rsid w:val="00B176A6"/>
    <w:rsid w:val="00B22AFA"/>
    <w:rsid w:val="00B234A9"/>
    <w:rsid w:val="00B578A4"/>
    <w:rsid w:val="00B926BC"/>
    <w:rsid w:val="00B92D08"/>
    <w:rsid w:val="00BE635F"/>
    <w:rsid w:val="00C11B52"/>
    <w:rsid w:val="00C44B40"/>
    <w:rsid w:val="00C53705"/>
    <w:rsid w:val="00C72407"/>
    <w:rsid w:val="00CE13AF"/>
    <w:rsid w:val="00CE3525"/>
    <w:rsid w:val="00CF6DF7"/>
    <w:rsid w:val="00D01D7E"/>
    <w:rsid w:val="00D2568B"/>
    <w:rsid w:val="00D435DA"/>
    <w:rsid w:val="00D50101"/>
    <w:rsid w:val="00D7050A"/>
    <w:rsid w:val="00D73B7D"/>
    <w:rsid w:val="00DD46F1"/>
    <w:rsid w:val="00DF7FC1"/>
    <w:rsid w:val="00E22F8F"/>
    <w:rsid w:val="00E60578"/>
    <w:rsid w:val="00E71A44"/>
    <w:rsid w:val="00EB2280"/>
    <w:rsid w:val="00EB768E"/>
    <w:rsid w:val="00F23E42"/>
    <w:rsid w:val="00F615AC"/>
    <w:rsid w:val="00F7238F"/>
    <w:rsid w:val="00F82D91"/>
    <w:rsid w:val="00FA6DF5"/>
    <w:rsid w:val="00FD6DE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46ABA"/>
  <w15:docId w15:val="{B40A343F-66FD-4D53-9B20-87895FDC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392"/>
    <w:pPr>
      <w:spacing w:after="120"/>
      <w:jc w:val="both"/>
    </w:pPr>
    <w:rPr>
      <w:rFonts w:ascii="Arial" w:hAnsi="Arial"/>
      <w:szCs w:val="24"/>
      <w:lang w:val="en-GB" w:eastAsia="en-US"/>
    </w:rPr>
  </w:style>
  <w:style w:type="paragraph" w:styleId="Titre1">
    <w:name w:val="heading 1"/>
    <w:basedOn w:val="Normal"/>
    <w:next w:val="Normal"/>
    <w:link w:val="Titre1Car"/>
    <w:uiPriority w:val="9"/>
    <w:rsid w:val="002C3CF8"/>
    <w:pPr>
      <w:keepNext/>
      <w:numPr>
        <w:numId w:val="21"/>
      </w:numPr>
      <w:spacing w:before="360"/>
      <w:jc w:val="left"/>
      <w:outlineLvl w:val="0"/>
    </w:pPr>
    <w:rPr>
      <w:b/>
      <w:bCs/>
      <w:noProof/>
      <w:kern w:val="32"/>
      <w:sz w:val="24"/>
      <w:szCs w:val="32"/>
    </w:rPr>
  </w:style>
  <w:style w:type="paragraph" w:styleId="Titre2">
    <w:name w:val="heading 2"/>
    <w:basedOn w:val="Normal"/>
    <w:next w:val="Normal"/>
    <w:link w:val="Titre2Car"/>
    <w:uiPriority w:val="9"/>
    <w:unhideWhenUsed/>
    <w:rsid w:val="00B22AFA"/>
    <w:pPr>
      <w:keepNext/>
      <w:numPr>
        <w:ilvl w:val="1"/>
        <w:numId w:val="21"/>
      </w:numPr>
      <w:spacing w:before="240"/>
      <w:jc w:val="left"/>
      <w:outlineLvl w:val="1"/>
    </w:pPr>
    <w:rPr>
      <w:b/>
      <w:bCs/>
      <w:iCs/>
      <w:sz w:val="22"/>
      <w:szCs w:val="28"/>
    </w:rPr>
  </w:style>
  <w:style w:type="paragraph" w:styleId="Titre3">
    <w:name w:val="heading 3"/>
    <w:basedOn w:val="Normal"/>
    <w:next w:val="Normal"/>
    <w:link w:val="Titre3Car"/>
    <w:uiPriority w:val="9"/>
    <w:unhideWhenUsed/>
    <w:rsid w:val="002C3CF8"/>
    <w:pPr>
      <w:keepNext/>
      <w:numPr>
        <w:ilvl w:val="2"/>
        <w:numId w:val="21"/>
      </w:numPr>
      <w:spacing w:before="180"/>
      <w:jc w:val="left"/>
      <w:outlineLvl w:val="2"/>
    </w:pPr>
    <w:rPr>
      <w:b/>
      <w:bCs/>
      <w:noProof/>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paragraph" w:styleId="Corpsdetexte">
    <w:name w:val="Body Text"/>
    <w:basedOn w:val="Normal"/>
    <w:semiHidden/>
    <w:rPr>
      <w:rFonts w:cs="Arial"/>
      <w:noProof/>
      <w:lang w:val="en-US"/>
    </w:rPr>
  </w:style>
  <w:style w:type="paragraph" w:styleId="Textedebulles">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eastAsia="en-US"/>
    </w:rPr>
  </w:style>
  <w:style w:type="paragraph" w:styleId="Lgende">
    <w:name w:val="caption"/>
    <w:basedOn w:val="Normal"/>
    <w:next w:val="Normal"/>
    <w:uiPriority w:val="35"/>
    <w:unhideWhenUsed/>
    <w:qFormat/>
    <w:rsid w:val="00835392"/>
    <w:pPr>
      <w:jc w:val="center"/>
    </w:pPr>
    <w:rPr>
      <w:b/>
      <w:bCs/>
      <w:i/>
      <w:sz w:val="16"/>
      <w:szCs w:val="20"/>
    </w:rPr>
  </w:style>
  <w:style w:type="paragraph" w:styleId="Titre">
    <w:name w:val="Title"/>
    <w:basedOn w:val="Normal"/>
    <w:next w:val="Normal"/>
    <w:link w:val="TitreCar"/>
    <w:uiPriority w:val="10"/>
    <w:qFormat/>
    <w:rsid w:val="007A1427"/>
    <w:pPr>
      <w:spacing w:after="240"/>
      <w:jc w:val="left"/>
      <w:outlineLvl w:val="0"/>
    </w:pPr>
    <w:rPr>
      <w:b/>
      <w:bCs/>
      <w:kern w:val="28"/>
      <w:sz w:val="32"/>
      <w:szCs w:val="32"/>
    </w:rPr>
  </w:style>
  <w:style w:type="character" w:customStyle="1" w:styleId="TitreCar">
    <w:name w:val="Titre Car"/>
    <w:link w:val="Titre"/>
    <w:uiPriority w:val="10"/>
    <w:rsid w:val="007A1427"/>
    <w:rPr>
      <w:rFonts w:ascii="Arial" w:hAnsi="Arial"/>
      <w:b/>
      <w:bCs/>
      <w:kern w:val="28"/>
      <w:sz w:val="32"/>
      <w:szCs w:val="32"/>
      <w:lang w:eastAsia="en-US"/>
    </w:rPr>
  </w:style>
  <w:style w:type="paragraph" w:customStyle="1" w:styleId="Authors">
    <w:name w:val="Authors"/>
    <w:basedOn w:val="Normal"/>
    <w:qFormat/>
    <w:rsid w:val="007A1427"/>
    <w:pPr>
      <w:spacing w:after="240"/>
      <w:jc w:val="left"/>
    </w:pPr>
    <w:rPr>
      <w:rFonts w:cs="Arial"/>
      <w:noProof/>
      <w:sz w:val="24"/>
    </w:rPr>
  </w:style>
  <w:style w:type="paragraph" w:customStyle="1" w:styleId="Affiliation">
    <w:name w:val="Affiliation"/>
    <w:basedOn w:val="Normal"/>
    <w:qFormat/>
    <w:rsid w:val="007A1427"/>
    <w:pPr>
      <w:spacing w:after="0"/>
      <w:jc w:val="left"/>
    </w:pPr>
    <w:rPr>
      <w:rFonts w:cs="Arial"/>
      <w:i/>
      <w:noProof/>
    </w:rPr>
  </w:style>
  <w:style w:type="character" w:customStyle="1" w:styleId="Titre1Car">
    <w:name w:val="Titre 1 Car"/>
    <w:link w:val="Titre1"/>
    <w:uiPriority w:val="9"/>
    <w:rsid w:val="002C3CF8"/>
    <w:rPr>
      <w:rFonts w:ascii="Arial" w:hAnsi="Arial"/>
      <w:b/>
      <w:bCs/>
      <w:noProof/>
      <w:kern w:val="32"/>
      <w:sz w:val="24"/>
      <w:szCs w:val="32"/>
      <w:lang w:eastAsia="en-US"/>
    </w:rPr>
  </w:style>
  <w:style w:type="character" w:styleId="Titredulivre">
    <w:name w:val="Book Title"/>
    <w:uiPriority w:val="33"/>
    <w:rsid w:val="00DF7FC1"/>
    <w:rPr>
      <w:b/>
      <w:bCs/>
      <w:smallCaps/>
      <w:spacing w:val="5"/>
    </w:rPr>
  </w:style>
  <w:style w:type="character" w:customStyle="1" w:styleId="Titre2Car">
    <w:name w:val="Titre 2 Car"/>
    <w:link w:val="Titre2"/>
    <w:uiPriority w:val="9"/>
    <w:rsid w:val="00B22AFA"/>
    <w:rPr>
      <w:rFonts w:ascii="Arial" w:hAnsi="Arial"/>
      <w:b/>
      <w:bCs/>
      <w:iCs/>
      <w:sz w:val="22"/>
      <w:szCs w:val="28"/>
      <w:lang w:eastAsia="en-US"/>
    </w:rPr>
  </w:style>
  <w:style w:type="paragraph" w:styleId="Paragraphedeliste">
    <w:name w:val="List Paragraph"/>
    <w:basedOn w:val="Normal"/>
    <w:uiPriority w:val="34"/>
    <w:rsid w:val="007D21B0"/>
    <w:pPr>
      <w:ind w:left="720"/>
    </w:pPr>
  </w:style>
  <w:style w:type="character" w:customStyle="1" w:styleId="Titre3Car">
    <w:name w:val="Titre 3 Car"/>
    <w:link w:val="Titre3"/>
    <w:uiPriority w:val="9"/>
    <w:rsid w:val="002C3CF8"/>
    <w:rPr>
      <w:rFonts w:ascii="Arial" w:hAnsi="Arial"/>
      <w:b/>
      <w:bCs/>
      <w:noProof/>
      <w:szCs w:val="26"/>
      <w:u w:val="single"/>
      <w:lang w:eastAsia="en-US"/>
    </w:rPr>
  </w:style>
  <w:style w:type="table" w:styleId="Grilledutableau">
    <w:name w:val="Table Grid"/>
    <w:basedOn w:val="TableauNormal"/>
    <w:uiPriority w:val="59"/>
    <w:rsid w:val="007D2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ferences">
    <w:name w:val="References"/>
    <w:basedOn w:val="Normal"/>
    <w:qFormat/>
    <w:rsid w:val="00224340"/>
    <w:pPr>
      <w:tabs>
        <w:tab w:val="left" w:pos="1134"/>
      </w:tabs>
      <w:spacing w:after="0"/>
      <w:ind w:left="720" w:hanging="720"/>
    </w:pPr>
    <w:rPr>
      <w:noProof/>
    </w:rPr>
  </w:style>
  <w:style w:type="paragraph" w:styleId="Sous-titre">
    <w:name w:val="Subtitle"/>
    <w:basedOn w:val="Normal"/>
    <w:next w:val="Normal"/>
    <w:link w:val="Sous-titreCar"/>
    <w:uiPriority w:val="11"/>
    <w:qFormat/>
    <w:rsid w:val="007A1427"/>
    <w:pPr>
      <w:spacing w:after="60"/>
      <w:jc w:val="left"/>
      <w:outlineLvl w:val="1"/>
    </w:pPr>
    <w:rPr>
      <w:rFonts w:ascii="Cambria" w:hAnsi="Cambria"/>
      <w:b/>
      <w:sz w:val="24"/>
    </w:rPr>
  </w:style>
  <w:style w:type="character" w:customStyle="1" w:styleId="Sous-titreCar">
    <w:name w:val="Sous-titre Car"/>
    <w:link w:val="Sous-titre"/>
    <w:uiPriority w:val="11"/>
    <w:rsid w:val="007A1427"/>
    <w:rPr>
      <w:rFonts w:ascii="Cambria" w:eastAsia="Times New Roman" w:hAnsi="Cambria" w:cs="Times New Roman"/>
      <w:b/>
      <w:sz w:val="24"/>
      <w:szCs w:val="24"/>
      <w:lang w:eastAsia="en-US"/>
    </w:rPr>
  </w:style>
  <w:style w:type="character" w:styleId="Marquedecommentaire">
    <w:name w:val="annotation reference"/>
    <w:uiPriority w:val="99"/>
    <w:semiHidden/>
    <w:unhideWhenUsed/>
    <w:rsid w:val="00355271"/>
    <w:rPr>
      <w:sz w:val="16"/>
      <w:szCs w:val="16"/>
    </w:rPr>
  </w:style>
  <w:style w:type="paragraph" w:styleId="Commentaire">
    <w:name w:val="annotation text"/>
    <w:basedOn w:val="Normal"/>
    <w:link w:val="CommentaireCar"/>
    <w:uiPriority w:val="99"/>
    <w:semiHidden/>
    <w:unhideWhenUsed/>
    <w:rsid w:val="00355271"/>
    <w:rPr>
      <w:szCs w:val="20"/>
    </w:rPr>
  </w:style>
  <w:style w:type="character" w:customStyle="1" w:styleId="CommentaireCar">
    <w:name w:val="Commentaire Car"/>
    <w:link w:val="Commentaire"/>
    <w:uiPriority w:val="99"/>
    <w:semiHidden/>
    <w:rsid w:val="00355271"/>
    <w:rPr>
      <w:rFonts w:ascii="Arial" w:hAnsi="Arial"/>
      <w:lang w:val="en-GB" w:eastAsia="en-US"/>
    </w:rPr>
  </w:style>
  <w:style w:type="paragraph" w:styleId="Objetducommentaire">
    <w:name w:val="annotation subject"/>
    <w:basedOn w:val="Commentaire"/>
    <w:next w:val="Commentaire"/>
    <w:link w:val="ObjetducommentaireCar"/>
    <w:uiPriority w:val="99"/>
    <w:semiHidden/>
    <w:unhideWhenUsed/>
    <w:rsid w:val="00355271"/>
    <w:rPr>
      <w:b/>
      <w:bCs/>
    </w:rPr>
  </w:style>
  <w:style w:type="character" w:customStyle="1" w:styleId="ObjetducommentaireCar">
    <w:name w:val="Objet du commentaire Car"/>
    <w:link w:val="Objetducommentaire"/>
    <w:uiPriority w:val="99"/>
    <w:semiHidden/>
    <w:rsid w:val="00355271"/>
    <w:rPr>
      <w:rFonts w:ascii="Arial" w:hAnsi="Arial"/>
      <w:b/>
      <w:bCs/>
      <w:lang w:val="en-GB" w:eastAsia="en-US"/>
    </w:rPr>
  </w:style>
  <w:style w:type="paragraph" w:styleId="NormalWeb">
    <w:name w:val="Normal (Web)"/>
    <w:basedOn w:val="Normal"/>
    <w:uiPriority w:val="99"/>
    <w:semiHidden/>
    <w:unhideWhenUsed/>
    <w:rsid w:val="0061510E"/>
    <w:pPr>
      <w:spacing w:before="100" w:beforeAutospacing="1" w:after="100" w:afterAutospacing="1"/>
      <w:jc w:val="left"/>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828977">
      <w:bodyDiv w:val="1"/>
      <w:marLeft w:val="0"/>
      <w:marRight w:val="0"/>
      <w:marTop w:val="0"/>
      <w:marBottom w:val="0"/>
      <w:divBdr>
        <w:top w:val="none" w:sz="0" w:space="0" w:color="auto"/>
        <w:left w:val="none" w:sz="0" w:space="0" w:color="auto"/>
        <w:bottom w:val="none" w:sz="0" w:space="0" w:color="auto"/>
        <w:right w:val="none" w:sz="0" w:space="0" w:color="auto"/>
      </w:divBdr>
      <w:divsChild>
        <w:div w:id="14264648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en.SETACEU\AppData\Local\Microsoft\Windows\Temporary%20Internet%20Files\Content.Outlook\DN6VWWSE\Extended%20abstract%20template.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5BC46-F68C-4163-87D7-E4CDD693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Extended abstract template</Template>
  <TotalTime>1</TotalTime>
  <Pages>1</Pages>
  <Words>511</Words>
  <Characters>8727</Characters>
  <Application>Microsoft Office Word</Application>
  <DocSecurity>4</DocSecurity>
  <Lines>72</Lines>
  <Paragraphs>18</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Extended abstract for the SETAC Europe 14th LCA CSS to be held in Göteborg, Sweden</vt:lpstr>
      <vt:lpstr>Extended abstract for the SETAC Europe 14th LCA CSS to be held in Göteborg, Sweden</vt:lpstr>
      <vt:lpstr>Extended abstract for the SETAC Europe 14th LCA CSS to be held in Göteborg, Sweden</vt:lpstr>
    </vt:vector>
  </TitlesOfParts>
  <Company>Setac Europe</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abstract for the SETAC Europe 14th LCA CSS to be held in Göteborg, Sweden</dc:title>
  <dc:creator>katrien</dc:creator>
  <cp:lastModifiedBy>LAGUERRE Mickael</cp:lastModifiedBy>
  <cp:revision>2</cp:revision>
  <cp:lastPrinted>2019-01-11T10:30:00Z</cp:lastPrinted>
  <dcterms:created xsi:type="dcterms:W3CDTF">2019-01-11T10:48:00Z</dcterms:created>
  <dcterms:modified xsi:type="dcterms:W3CDTF">2019-01-11T10:48:00Z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927afbc0-da6f-3a25-9a1c-c4d3113023c5</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http://www.zotero.org/styles/food-chemistry</vt:lpwstr>
  </property>
  <property fmtid="{D5CDD505-2E9C-101B-9397-08002B2CF9AE}" pid="14" name="Mendeley Recent Style Name 4_1">
    <vt:lpwstr>Food Chemistry</vt:lpwstr>
  </property>
  <property fmtid="{D5CDD505-2E9C-101B-9397-08002B2CF9AE}" pid="15" name="Mendeley Recent Style Id 5_1">
    <vt:lpwstr>http://www.zotero.org/styles/food-hydrocolloids</vt:lpwstr>
  </property>
  <property fmtid="{D5CDD505-2E9C-101B-9397-08002B2CF9AE}" pid="16" name="Mendeley Recent Style Name 5_1">
    <vt:lpwstr>Food Hydrocolloids</vt:lpwstr>
  </property>
  <property fmtid="{D5CDD505-2E9C-101B-9397-08002B2CF9AE}" pid="17" name="Mendeley Recent Style Id 6_1">
    <vt:lpwstr>http://www.zotero.org/styles/food-research-international</vt:lpwstr>
  </property>
  <property fmtid="{D5CDD505-2E9C-101B-9397-08002B2CF9AE}" pid="18" name="Mendeley Recent Style Name 6_1">
    <vt:lpwstr>Food Research International</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http://www.zotero.org/styles/journal-of-food-engineering</vt:lpwstr>
  </property>
  <property fmtid="{D5CDD505-2E9C-101B-9397-08002B2CF9AE}" pid="24" name="Mendeley Recent Style Name 9_1">
    <vt:lpwstr>Journal of Food Engineering</vt:lpwstr>
  </property>
</Properties>
</file>