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itreprincipal"/>
        <w:rPr/>
      </w:pPr>
      <w:r>
        <w:rPr/>
        <w:t>New approach for the characterisation</w:t>
        <w:br/>
        <w:t>of dairy protein foams stability</w:t>
      </w:r>
    </w:p>
    <w:p>
      <w:pPr>
        <w:pStyle w:val="Authors"/>
        <w:rPr/>
      </w:pPr>
      <w:r>
        <w:rPr/>
        <w:t>Alexia Audebert</w:t>
      </w:r>
      <w:r>
        <w:rPr>
          <w:vertAlign w:val="superscript"/>
        </w:rPr>
        <w:t>1</w:t>
      </w:r>
      <w:r>
        <w:rPr/>
        <w:t>, Sylvie Beaufils</w:t>
      </w:r>
      <w:r>
        <w:rPr>
          <w:vertAlign w:val="superscript"/>
        </w:rPr>
        <w:t>2</w:t>
      </w:r>
      <w:r>
        <w:rPr/>
        <w:t>, Valérie Lechevalier</w:t>
      </w:r>
      <w:r>
        <w:rPr>
          <w:vertAlign w:val="superscript"/>
        </w:rPr>
        <w:t>1</w:t>
      </w:r>
      <w:r>
        <w:rPr/>
        <w:t>, Cécile Le Floch-Fouéré</w:t>
      </w:r>
      <w:r>
        <w:rPr>
          <w:vertAlign w:val="superscript"/>
        </w:rPr>
        <w:t>1</w:t>
      </w:r>
      <w:r>
        <w:rPr/>
        <w:t>, Arnaud Saint-Jalmes</w:t>
      </w:r>
      <w:r>
        <w:rPr>
          <w:vertAlign w:val="superscript"/>
        </w:rPr>
        <w:t>2</w:t>
      </w:r>
      <w:r>
        <w:rPr/>
        <w:t>, Simon Cox</w:t>
      </w:r>
      <w:r>
        <w:rPr>
          <w:vertAlign w:val="superscript"/>
        </w:rPr>
        <w:t>3</w:t>
      </w:r>
      <w:r>
        <w:rPr/>
        <w:t>, Nadine Leconte</w:t>
      </w:r>
      <w:r>
        <w:rPr>
          <w:vertAlign w:val="superscript"/>
        </w:rPr>
        <w:t>1</w:t>
      </w:r>
      <w:r>
        <w:rPr/>
        <w:t>, and Stéphane Pezennec</w:t>
      </w:r>
      <w:r>
        <w:rPr>
          <w:vertAlign w:val="superscript"/>
        </w:rPr>
        <w:t>1</w:t>
      </w:r>
    </w:p>
    <w:p>
      <w:pPr>
        <w:pStyle w:val="Affiliation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 STLO, UMR1253, INRA, Agrocampus Ouest, </w:t>
      </w:r>
      <w:r>
        <w:rPr>
          <w:b/>
          <w:bCs/>
          <w:i w:val="false"/>
          <w:iCs w:val="false"/>
        </w:rPr>
        <w:t xml:space="preserve">F-35000, </w:t>
      </w:r>
      <w:r>
        <w:rPr>
          <w:b/>
          <w:bCs/>
          <w:i w:val="false"/>
          <w:iCs w:val="false"/>
        </w:rPr>
        <w:t xml:space="preserve">Rennes, France </w:t>
      </w:r>
    </w:p>
    <w:p>
      <w:pPr>
        <w:pStyle w:val="Affiliation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2 Univ Rennes, CNRS, IPR (Institut de Physique de Rennes) - UMR 6251, F-35000, Rennes, France </w:t>
      </w:r>
    </w:p>
    <w:p>
      <w:pPr>
        <w:pStyle w:val="Affiliation"/>
        <w:rPr/>
      </w:pPr>
      <w:r>
        <w:rPr>
          <w:b/>
          <w:bCs/>
          <w:i w:val="false"/>
          <w:iCs w:val="false"/>
        </w:rPr>
        <w:t>3 Department of Mathematics, Aberystwyth University, Aberystwyth, Ceredigion, SY23 3BZ, United Kingdom</w:t>
      </w:r>
      <w:r>
        <w:rPr/>
        <w:t xml:space="preserve"> </w:t>
      </w:r>
    </w:p>
    <w:p>
      <w:pPr>
        <w:pStyle w:val="Affiliation"/>
        <w:rPr/>
      </w:pPr>
      <w:r>
        <w:rPr/>
      </w:r>
    </w:p>
    <w:p>
      <w:pPr>
        <w:pStyle w:val="Affiliation"/>
        <w:rPr/>
      </w:pPr>
      <w:r>
        <w:rPr/>
        <w:t xml:space="preserve">E-mail </w:t>
      </w:r>
      <w:r>
        <w:rPr/>
        <w:t>contact</w:t>
      </w:r>
      <w:r>
        <w:rPr/>
        <w:t xml:space="preserve">: </w:t>
      </w:r>
      <w:r>
        <w:rPr>
          <w:b/>
          <w:bCs/>
          <w:i w:val="false"/>
          <w:iCs w:val="false"/>
        </w:rPr>
        <w:t>stephane.pezennec@inra.fr</w:t>
      </w:r>
      <w:r>
        <w:rPr/>
        <w:t xml:space="preserve"> </w:t>
      </w:r>
    </w:p>
    <w:p>
      <w:pPr>
        <w:pStyle w:val="Corpsdetexte"/>
        <w:rPr/>
      </w:pPr>
      <w:r>
        <w:rPr/>
        <w:t xml:space="preserve">  </w:t>
      </w:r>
    </w:p>
    <w:p>
      <w:pPr>
        <w:pStyle w:val="Corpsdetexte"/>
        <w:rPr/>
      </w:pPr>
      <w:r>
        <w:rPr/>
        <w:t xml:space="preserve">  </w:t>
      </w:r>
    </w:p>
    <w:p>
      <w:pPr>
        <w:pStyle w:val="Corpsdetexte"/>
        <w:rPr/>
      </w:pPr>
      <w:r>
        <w:rPr/>
        <w:t xml:space="preserve">The main destabilisation processes in aqueous foams are liquid drainage, coalescence and disproportionation. In food sciences, the measurement of protein foam stability generally integrates all of them in a “global stability”, and a challenge is to correlate the stability and rheology of foams to the properties of interfaces. </w:t>
      </w:r>
    </w:p>
    <w:p>
      <w:pPr>
        <w:pStyle w:val="Corpsdetexte"/>
        <w:rPr/>
      </w:pPr>
      <w:r>
        <w:rPr/>
        <w:t>We adopted a multi-scale approach by combining the interfacial rheology of proteins adsorbed at the air–water interface, the dynamics of protein films after T1 topological rearrangements (Fig. </w:t>
      </w:r>
      <w:r>
        <w:rPr/>
        <w:fldChar w:fldCharType="begin"/>
      </w:r>
      <w:r>
        <w:rPr/>
        <w:instrText> REF Ref_Illustration0_number_only \h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), and macroscopic foam characterisations: the foam stability against drainage was evaluated by following the evolution of the liquid fraction as a function of time and height (Fig. </w:t>
      </w:r>
      <w:r>
        <w:rPr/>
        <w:fldChar w:fldCharType="begin"/>
      </w:r>
      <w:r>
        <w:rPr/>
        <w:instrText> REF Ref_Illustration1_number_only \h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/>
        <w:t xml:space="preserve">) [1], and the foam complex modulus and yield stress were measured under oscillatory shear. We investigated the behaviour of dairy proteins (whey protein isolate and purified β-lactoglobulin), either in the native state or after modification by dry-heating and/or pH adjustment prior to dehydration. </w:t>
      </w:r>
    </w:p>
    <w:p>
      <w:pPr>
        <w:pStyle w:val="Corpsdetexte"/>
        <w:rPr/>
      </w:pPr>
      <w:r>
        <w:rPr/>
        <w:t xml:space="preserve">Our results show that small-extent structural modifications of proteins have a dramatic impact on interfacial rheology, liquid film dynamics, foam stability and foam rheology. </w:t>
      </w:r>
    </w:p>
    <w:p>
      <w:pPr>
        <w:pStyle w:val="Corpsdetexte"/>
        <w:rPr/>
      </w:pPr>
      <w:r>
        <w:rPr/>
        <w:t xml:space="preserve">This approach, correlating multiple investigation scales, sheds light on the contribution of the interfacial rheology to protein foam properties, in particular through the involvement of film relaxation dynamics. </w:t>
      </w:r>
    </w:p>
    <w:p>
      <w:pPr>
        <w:pStyle w:val="Corpsdetexte"/>
        <w:rPr/>
      </w:pPr>
      <w:r>
        <w:rPr/>
      </w:r>
      <w:r>
        <w:rPr/>
      </w:r>
      <w:r>
        <w:rPr/>
        <w:t xml:space="preserve"> </w:t>
      </w:r>
      <w:r>
        <mc:AlternateContent>
          <mc:Choice Requires="wps">
            <w:drawing>
              <wp:inline distT="0" distB="0" distL="0" distR="0">
                <wp:extent cx="2879725" cy="1482725"/>
                <wp:effectExtent l="0" t="0" r="0" b="0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8272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aption"/>
                              <w:spacing w:before="0" w:after="120"/>
                              <w:jc w:val="center"/>
                              <w:rPr/>
                            </w:pPr>
                            <w:bookmarkStart w:id="0" w:name="org60e7164"/>
                            <w:bookmarkEnd w:id="0"/>
                            <w:r>
                              <w:rPr/>
                              <w:t xml:space="preserve">Figure </w:t>
                              <w:drawing>
                                <wp:inline distT="0" distB="0" distL="0" distR="0">
                                  <wp:extent cx="2770505" cy="1256665"/>
                                  <wp:effectExtent l="0" t="0" r="0" b="0"/>
                                  <wp:docPr id="2" name="Fram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ram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0505" cy="125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Ref_Illustration0_number_only"/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Illustration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bookmarkEnd w:id="1"/>
                            <w:r>
                              <w:rPr/>
                              <w:t xml:space="preserve">: </w:t>
                            </w:r>
                            <w:r>
                              <w:rPr/>
                              <w:t>T1 topological rearrangement between 5 films.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226.75pt;height:116.75pt;mso-wrap-distance-left:5.7pt;mso-wrap-distance-right:5.7pt;mso-wrap-distance-top:5.7pt;mso-wrap-distance-bottom:5.7pt;margin-top:-128.15pt;mso-position-vertical:top;mso-position-vertical-relative:text;margin-left:0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aption"/>
                        <w:spacing w:before="0" w:after="120"/>
                        <w:jc w:val="center"/>
                        <w:rPr/>
                      </w:pPr>
                      <w:bookmarkStart w:id="2" w:name="org60e7164"/>
                      <w:bookmarkEnd w:id="2"/>
                      <w:r>
                        <w:rPr/>
                        <w:t xml:space="preserve">Figure </w:t>
                        <w:drawing>
                          <wp:inline distT="0" distB="0" distL="0" distR="0">
                            <wp:extent cx="2770505" cy="1256665"/>
                            <wp:effectExtent l="0" t="0" r="0" b="0"/>
                            <wp:docPr id="3" name="Fram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ram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0505" cy="125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Ref_Illustration0_number_only"/>
                      <w:r>
                        <w:rPr/>
                        <w:fldChar w:fldCharType="begin"/>
                      </w:r>
                      <w:r>
                        <w:rPr/>
                        <w:instrText> SEQ Illustration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bookmarkEnd w:id="3"/>
                      <w:r>
                        <w:rPr/>
                        <w:t xml:space="preserve">: </w:t>
                      </w:r>
                      <w:r>
                        <w:rPr/>
                        <w:t>T1 topological rearrangement between 5 films.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879725" cy="1600835"/>
                <wp:effectExtent l="0" t="0" r="0" b="0"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6008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aption"/>
                              <w:spacing w:before="0" w:after="120"/>
                              <w:jc w:val="center"/>
                              <w:rPr/>
                            </w:pPr>
                            <w:bookmarkStart w:id="4" w:name="org0d4a512"/>
                            <w:bookmarkEnd w:id="4"/>
                            <w:r>
                              <w:rPr/>
                              <w:t xml:space="preserve">Figure </w:t>
                              <w:drawing>
                                <wp:inline distT="0" distB="0" distL="0" distR="0">
                                  <wp:extent cx="2770505" cy="1374775"/>
                                  <wp:effectExtent l="0" t="0" r="0" b="0"/>
                                  <wp:docPr id="5" name="Fram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ram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0505" cy="137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5" w:name="Ref_Illustration1_number_only"/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Illustration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bookmarkEnd w:id="5"/>
                            <w:r>
                              <w:rPr/>
                              <w:t xml:space="preserve">: </w:t>
                            </w:r>
                            <w:r>
                              <w:rPr/>
                              <w:t>Measurement of foam free drainage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226.75pt;height:126.05pt;mso-wrap-distance-left:5.7pt;mso-wrap-distance-right:5.7pt;mso-wrap-distance-top:5.7pt;mso-wrap-distance-bottom:5.7pt;margin-top:-137.45pt;mso-position-vertical:top;mso-position-vertical-relative:text;margin-left:0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aption"/>
                        <w:spacing w:before="0" w:after="120"/>
                        <w:jc w:val="center"/>
                        <w:rPr/>
                      </w:pPr>
                      <w:bookmarkStart w:id="6" w:name="org0d4a512"/>
                      <w:bookmarkEnd w:id="6"/>
                      <w:r>
                        <w:rPr/>
                        <w:t xml:space="preserve">Figure </w:t>
                        <w:drawing>
                          <wp:inline distT="0" distB="0" distL="0" distR="0">
                            <wp:extent cx="2770505" cy="1374775"/>
                            <wp:effectExtent l="0" t="0" r="0" b="0"/>
                            <wp:docPr id="6" name="Fram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ram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0505" cy="1374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7" w:name="Ref_Illustration1_number_only"/>
                      <w:r>
                        <w:rPr/>
                        <w:fldChar w:fldCharType="begin"/>
                      </w:r>
                      <w:r>
                        <w:rPr/>
                        <w:instrText> SEQ Illustration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bookmarkEnd w:id="7"/>
                      <w:r>
                        <w:rPr/>
                        <w:t xml:space="preserve">: </w:t>
                      </w:r>
                      <w:r>
                        <w:rPr/>
                        <w:t>Measurement of foam free drainage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oustitre"/>
        <w:rPr/>
      </w:pPr>
      <w:r>
        <w:rPr/>
        <w:t xml:space="preserve">References </w:t>
      </w:r>
    </w:p>
    <w:p>
      <w:pPr>
        <w:pStyle w:val="References"/>
        <w:rPr/>
      </w:pPr>
      <w:r>
        <w:rPr/>
        <w:t xml:space="preserve">[1] Audebert, A., Beaufils, S., Lechevalier, V., Le Floch-Fouéré, C., Saint-Jalmes, A., Pezennec, S., 2019. How foam stability against drainage is affected by conditions of prior whey protein powder storage and dry-heating: A multidimensional experimental approach. </w:t>
      </w:r>
      <w:r>
        <w:rPr>
          <w:rStyle w:val="Accentuation"/>
        </w:rPr>
        <w:t>J. Food Eng.</w:t>
      </w:r>
      <w:r>
        <w:rPr/>
        <w:t xml:space="preserve"> 242, 153–162. </w:t>
      </w:r>
      <w:hyperlink r:id="rId4">
        <w:r>
          <w:rPr>
            <w:rStyle w:val="LienInternet"/>
          </w:rPr>
          <w:t>https://doi.org/10.1016/j.jfoodeng.2018.08.029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."/>
      <w:lvlJc w:val="left"/>
      <w:pPr>
        <w:ind w:left="35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kern w:val="0"/>
        <w:em w:val="none"/>
        <w:vanish w:val="false"/>
        <w:rFonts w:cs="Times New Roman"/>
        <w:color w:val="000000"/>
      </w:rPr>
    </w:lvl>
    <w:lvl w:ilvl="1">
      <w:start w:val="1"/>
      <w:pStyle w:val="Titre2"/>
      <w:numFmt w:val="decimal"/>
      <w:lvlText w:val="%1.%2."/>
      <w:lvlJc w:val="left"/>
      <w:pPr>
        <w:ind w:left="567" w:hanging="567"/>
      </w:pPr>
      <w:rPr>
        <w:sz w:val="22"/>
        <w:i w:val="false"/>
        <w:b/>
      </w:rPr>
    </w:lvl>
    <w:lvl w:ilvl="2">
      <w:start w:val="1"/>
      <w:pStyle w:val="Titre3"/>
      <w:numFmt w:val="decimal"/>
      <w:lvlText w:val="%1.%2.%3."/>
      <w:lvlJc w:val="left"/>
      <w:pPr>
        <w:ind w:left="851" w:hanging="851"/>
      </w:pPr>
      <w:rPr>
        <w:sz w:val="20"/>
        <w:i w:val="false"/>
        <w:b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2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120"/>
      <w:jc w:val="both"/>
    </w:pPr>
    <w:rPr>
      <w:rFonts w:ascii="Arial" w:hAnsi="Arial" w:eastAsia="Times New Roman" w:cs="Times New Roman"/>
      <w:color w:val="auto"/>
      <w:kern w:val="0"/>
      <w:sz w:val="20"/>
      <w:szCs w:val="24"/>
      <w:lang w:val="en-GB" w:eastAsia="en-US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360" w:after="120"/>
      <w:jc w:val="left"/>
      <w:outlineLvl w:val="0"/>
    </w:pPr>
    <w:rPr>
      <w:b/>
      <w:bCs/>
      <w:kern w:val="2"/>
      <w:sz w:val="24"/>
      <w:szCs w:val="3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120"/>
      <w:jc w:val="left"/>
      <w:outlineLvl w:val="1"/>
    </w:pPr>
    <w:rPr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180" w:after="120"/>
      <w:jc w:val="left"/>
      <w:outlineLvl w:val="2"/>
    </w:pPr>
    <w:rPr>
      <w:b/>
      <w:bCs/>
      <w:szCs w:val="26"/>
      <w:u w:val="single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n-GB" w:eastAsia="en-US"/>
    </w:rPr>
  </w:style>
  <w:style w:type="character" w:styleId="TitreCar">
    <w:name w:val="Titre Car"/>
    <w:qFormat/>
    <w:rPr>
      <w:rFonts w:ascii="Arial" w:hAnsi="Arial"/>
      <w:b/>
      <w:bCs/>
      <w:kern w:val="2"/>
      <w:sz w:val="32"/>
      <w:szCs w:val="32"/>
      <w:lang w:eastAsia="en-US"/>
    </w:rPr>
  </w:style>
  <w:style w:type="character" w:styleId="Titre1Car">
    <w:name w:val="Titre 1 Car"/>
    <w:qFormat/>
    <w:rPr>
      <w:rFonts w:ascii="Arial" w:hAnsi="Arial"/>
      <w:b/>
      <w:bCs/>
      <w:kern w:val="2"/>
      <w:sz w:val="24"/>
      <w:szCs w:val="32"/>
      <w:lang w:eastAsia="en-US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Titre2Car">
    <w:name w:val="Titre 2 Car"/>
    <w:qFormat/>
    <w:rPr>
      <w:rFonts w:ascii="Arial" w:hAnsi="Arial"/>
      <w:b/>
      <w:bCs/>
      <w:iCs/>
      <w:sz w:val="22"/>
      <w:szCs w:val="28"/>
      <w:lang w:eastAsia="en-US"/>
    </w:rPr>
  </w:style>
  <w:style w:type="character" w:styleId="Titre3Car">
    <w:name w:val="Titre 3 Car"/>
    <w:qFormat/>
    <w:rPr>
      <w:rFonts w:ascii="Arial" w:hAnsi="Arial"/>
      <w:b/>
      <w:bCs/>
      <w:szCs w:val="26"/>
      <w:u w:val="single"/>
      <w:lang w:eastAsia="en-US"/>
    </w:rPr>
  </w:style>
  <w:style w:type="character" w:styleId="SoustitreCar">
    <w:name w:val="Sous-titre Car"/>
    <w:qFormat/>
    <w:rPr>
      <w:rFonts w:ascii="Cambria" w:hAnsi="Cambria" w:eastAsia="Times New Roman" w:cs="Times New Roman"/>
      <w:b/>
      <w:sz w:val="24"/>
      <w:szCs w:val="24"/>
      <w:lang w:eastAsia="en-US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aireCar">
    <w:name w:val="Commentaire Car"/>
    <w:qFormat/>
    <w:rPr>
      <w:rFonts w:ascii="Arial" w:hAnsi="Arial"/>
      <w:lang w:val="en-GB" w:eastAsia="en-US"/>
    </w:rPr>
  </w:style>
  <w:style w:type="character" w:styleId="ObjetducommentaireCar">
    <w:name w:val="Objet du commentaire Car"/>
    <w:qFormat/>
    <w:rPr>
      <w:rFonts w:ascii="Arial" w:hAnsi="Arial"/>
      <w:b/>
      <w:bCs/>
      <w:lang w:val="en-GB" w:eastAsia="en-US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2">
    <w:name w:val="ListLabel 2"/>
    <w:qFormat/>
    <w:rPr>
      <w:b/>
      <w:i w:val="false"/>
      <w:sz w:val="22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4">
    <w:name w:val="ListLabel 4"/>
    <w:qFormat/>
    <w:rPr>
      <w:b/>
      <w:i w:val="false"/>
      <w:sz w:val="22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6">
    <w:name w:val="ListLabel 6"/>
    <w:qFormat/>
    <w:rPr>
      <w:b/>
      <w:i w:val="false"/>
      <w:sz w:val="22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9">
    <w:name w:val="ListLabel 9"/>
    <w:qFormat/>
    <w:rPr>
      <w:b/>
      <w:i w:val="false"/>
      <w:sz w:val="22"/>
    </w:rPr>
  </w:style>
  <w:style w:type="character" w:styleId="ListLabel10">
    <w:name w:val="ListLabel 10"/>
    <w:qFormat/>
    <w:rPr>
      <w:b/>
      <w:i w:val="false"/>
      <w:sz w:val="24"/>
    </w:rPr>
  </w:style>
  <w:style w:type="character" w:styleId="ListLabel11">
    <w:name w:val="ListLabel 11"/>
    <w:qFormat/>
    <w:rPr>
      <w:b/>
      <w:i w:val="false"/>
      <w:sz w:val="22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13">
    <w:name w:val="ListLabel 13"/>
    <w:qFormat/>
    <w:rPr>
      <w:b/>
      <w:i w:val="false"/>
      <w:sz w:val="22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styleId="ListLabel15">
    <w:name w:val="ListLabel 15"/>
    <w:qFormat/>
    <w:rPr>
      <w:b/>
      <w:i w:val="false"/>
      <w:sz w:val="22"/>
    </w:rPr>
  </w:style>
  <w:style w:type="character" w:styleId="ListLabel16">
    <w:name w:val="ListLabel 16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17">
    <w:name w:val="ListLabel 17"/>
    <w:qFormat/>
    <w:rPr>
      <w:b/>
      <w:i w:val="false"/>
      <w:sz w:val="22"/>
    </w:rPr>
  </w:style>
  <w:style w:type="character" w:styleId="ListLabel18">
    <w:name w:val="ListLabel 18"/>
    <w:qFormat/>
    <w:rPr>
      <w:b/>
      <w:i w:val="false"/>
      <w:sz w:val="20"/>
    </w:rPr>
  </w:style>
  <w:style w:type="character" w:styleId="ListLabel19">
    <w:name w:val="ListLabel 19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20">
    <w:name w:val="ListLabel 20"/>
    <w:qFormat/>
    <w:rPr>
      <w:b/>
      <w:i w:val="false"/>
      <w:sz w:val="22"/>
    </w:rPr>
  </w:style>
  <w:style w:type="character" w:styleId="ListLabel21">
    <w:name w:val="ListLabel 21"/>
    <w:qFormat/>
    <w:rPr>
      <w:b/>
      <w:i w:val="false"/>
      <w:sz w:val="20"/>
    </w:rPr>
  </w:style>
  <w:style w:type="character" w:styleId="ListLabel22">
    <w:name w:val="ListLabel 22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23">
    <w:name w:val="ListLabel 23"/>
    <w:qFormat/>
    <w:rPr>
      <w:b/>
      <w:i w:val="false"/>
      <w:sz w:val="22"/>
    </w:rPr>
  </w:style>
  <w:style w:type="character" w:styleId="ListLabel24">
    <w:name w:val="ListLabel 24"/>
    <w:qFormat/>
    <w:rPr>
      <w:b/>
      <w:i w:val="false"/>
      <w:sz w:val="20"/>
    </w:rPr>
  </w:style>
  <w:style w:type="character" w:styleId="ListLabel25">
    <w:name w:val="ListLabel 25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26">
    <w:name w:val="ListLabel 26"/>
    <w:qFormat/>
    <w:rPr>
      <w:b/>
      <w:i w:val="false"/>
      <w:sz w:val="22"/>
    </w:rPr>
  </w:style>
  <w:style w:type="character" w:styleId="ListLabel27">
    <w:name w:val="ListLabel 27"/>
    <w:qFormat/>
    <w:rPr>
      <w:b/>
      <w:i w:val="false"/>
      <w:sz w:val="20"/>
    </w:rPr>
  </w:style>
  <w:style w:type="character" w:styleId="ListLabel28">
    <w:name w:val="ListLabel 28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29">
    <w:name w:val="ListLabel 29"/>
    <w:qFormat/>
    <w:rPr>
      <w:b/>
      <w:i w:val="false"/>
      <w:sz w:val="22"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32">
    <w:name w:val="ListLabel 32"/>
    <w:qFormat/>
    <w:rPr>
      <w:b/>
      <w:i w:val="false"/>
      <w:sz w:val="22"/>
    </w:rPr>
  </w:style>
  <w:style w:type="character" w:styleId="ListLabel33">
    <w:name w:val="ListLabel 33"/>
    <w:qFormat/>
    <w:rPr>
      <w:b/>
      <w:i w:val="false"/>
      <w:sz w:val="20"/>
    </w:rPr>
  </w:style>
  <w:style w:type="character" w:styleId="ListLabel34">
    <w:name w:val="ListLabel 34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35">
    <w:name w:val="ListLabel 35"/>
    <w:qFormat/>
    <w:rPr>
      <w:b/>
      <w:i w:val="false"/>
      <w:sz w:val="22"/>
    </w:rPr>
  </w:style>
  <w:style w:type="character" w:styleId="ListLabel36">
    <w:name w:val="ListLabel 36"/>
    <w:qFormat/>
    <w:rPr>
      <w:b/>
      <w:i w:val="false"/>
      <w:sz w:val="20"/>
    </w:rPr>
  </w:style>
  <w:style w:type="character" w:styleId="ListLabel37">
    <w:name w:val="ListLabel 37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38">
    <w:name w:val="ListLabel 38"/>
    <w:qFormat/>
    <w:rPr>
      <w:b/>
      <w:i w:val="false"/>
      <w:sz w:val="22"/>
    </w:rPr>
  </w:style>
  <w:style w:type="character" w:styleId="ListLabel39">
    <w:name w:val="ListLabel 39"/>
    <w:qFormat/>
    <w:rPr>
      <w:b/>
      <w:i w:val="false"/>
      <w:sz w:val="20"/>
    </w:rPr>
  </w:style>
  <w:style w:type="character" w:styleId="ListLabel40">
    <w:name w:val="ListLabel 40"/>
    <w:qFormat/>
    <w:rPr>
      <w:rFonts w:cs="Times New Roman"/>
      <w:i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0"/>
      <w:u w:val="none"/>
      <w:vertAlign w:val="baseline"/>
      <w:em w:val="none"/>
    </w:rPr>
  </w:style>
  <w:style w:type="character" w:styleId="ListLabel41">
    <w:name w:val="ListLabel 41"/>
    <w:qFormat/>
    <w:rPr>
      <w:b/>
      <w:i w:val="false"/>
      <w:sz w:val="22"/>
    </w:rPr>
  </w:style>
  <w:style w:type="character" w:styleId="ListLabel42">
    <w:name w:val="ListLabel 42"/>
    <w:qFormat/>
    <w:rPr>
      <w:b/>
      <w:i w:val="false"/>
      <w:sz w:val="20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sdetexte">
    <w:name w:val="Body Text"/>
    <w:basedOn w:val="Normal"/>
    <w:pPr/>
    <w:rPr>
      <w:rFonts w:cs="Arial"/>
      <w:lang w:val="en-US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sz w:val="16"/>
      <w:szCs w:val="20"/>
    </w:rPr>
  </w:style>
  <w:style w:type="paragraph" w:styleId="Titreprincipal">
    <w:name w:val="Title"/>
    <w:basedOn w:val="Normal"/>
    <w:next w:val="Normal"/>
    <w:autoRedefine/>
    <w:qFormat/>
    <w:pPr>
      <w:numPr>
        <w:ilvl w:val="0"/>
        <w:numId w:val="0"/>
      </w:numPr>
      <w:spacing w:before="0" w:after="240"/>
      <w:jc w:val="center"/>
      <w:outlineLvl w:val="0"/>
    </w:pPr>
    <w:rPr>
      <w:b/>
      <w:bCs/>
      <w:kern w:val="2"/>
      <w:sz w:val="32"/>
      <w:szCs w:val="32"/>
    </w:rPr>
  </w:style>
  <w:style w:type="paragraph" w:styleId="Authors">
    <w:name w:val="Authors"/>
    <w:basedOn w:val="Normal"/>
    <w:autoRedefine/>
    <w:qFormat/>
    <w:pPr>
      <w:spacing w:before="0" w:after="240"/>
      <w:jc w:val="center"/>
    </w:pPr>
    <w:rPr>
      <w:rFonts w:cs="Arial"/>
      <w:sz w:val="24"/>
    </w:rPr>
  </w:style>
  <w:style w:type="paragraph" w:styleId="Affiliation">
    <w:name w:val="Affiliation"/>
    <w:basedOn w:val="Normal"/>
    <w:autoRedefine/>
    <w:qFormat/>
    <w:pPr>
      <w:spacing w:lineRule="auto" w:line="276" w:before="0" w:after="0"/>
      <w:jc w:val="center"/>
    </w:pPr>
    <w:rPr>
      <w:rFonts w:cs="Arial"/>
      <w:i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References">
    <w:name w:val="References"/>
    <w:basedOn w:val="Normal"/>
    <w:qFormat/>
    <w:pPr>
      <w:tabs>
        <w:tab w:val="clear" w:pos="720"/>
        <w:tab w:val="left" w:pos="1134" w:leader="none"/>
      </w:tabs>
      <w:spacing w:before="0" w:after="0"/>
      <w:ind w:left="720" w:right="0" w:hanging="720"/>
    </w:pPr>
    <w:rPr/>
  </w:style>
  <w:style w:type="paragraph" w:styleId="Soustitre">
    <w:name w:val="Subtitle"/>
    <w:basedOn w:val="Normal"/>
    <w:next w:val="Normal"/>
    <w:qFormat/>
    <w:pPr>
      <w:numPr>
        <w:ilvl w:val="0"/>
        <w:numId w:val="0"/>
      </w:numPr>
      <w:spacing w:before="0" w:after="60"/>
      <w:jc w:val="left"/>
      <w:outlineLvl w:val="1"/>
    </w:pPr>
    <w:rPr>
      <w:rFonts w:ascii="Cambria" w:hAnsi="Cambria"/>
      <w:b/>
      <w:sz w:val="24"/>
    </w:rPr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/>
      <w:sz w:val="24"/>
      <w:lang w:eastAsia="en-GB"/>
    </w:rPr>
  </w:style>
  <w:style w:type="paragraph" w:styleId="Contenudecadre">
    <w:name w:val="Contenu de cadre"/>
    <w:basedOn w:val="Normal"/>
    <w:qFormat/>
    <w:pPr/>
    <w:rPr/>
  </w:style>
  <w:style w:type="paragraph" w:styleId="Illustration">
    <w:name w:val="Illustration"/>
    <w:basedOn w:val="Lgende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doi.org/10.1016/j.jfoodeng.2018.08.029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LibreOffice/6.1.4.2$Linux_X86_64 LibreOffice_project/10$Build-2</Application>
  <Pages>1</Pages>
  <Words>327</Words>
  <CharactersWithSpaces>2378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2019-01-18T16:30:42Z</dcterms:created>
  <dc:creator>Alexia Audebert1, Sylvie Beaufils2, Valérie Lechevalier1, Cécile Le Floch-Fouéré1, Arnaud Saint-Jalmes2, Simon Cox3, Nadine Leconte1, and Stéphane Pezennec1</dc:creator>
  <dc:description/>
  <cp:keywords/>
  <dc:language>fr-FR</dc:language>
  <cp:lastModifiedBy/>
  <dcterms:modified xsi:type="dcterms:W3CDTF">2019-01-18T16:37:58Z</dcterms:modified>
  <cp:revision>4</cp:revision>
  <dc:subject/>
  <dc:title>New approach for the characterisation of dairy protein foams stability</dc:title>
</cp:coreProperties>
</file>